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20"/>
          <w:rFonts w:ascii="宋体" w:hAnsi="宋体" w:cstheme="minorBidi"/>
          <w:sz w:val="30"/>
          <w:szCs w:val="48"/>
        </w:rPr>
        <w:sectPr>
          <w:pgSz w:w="11906" w:h="16838"/>
          <w:pgMar w:top="1440" w:right="1800" w:bottom="1440" w:left="1800" w:header="851" w:footer="992" w:gutter="0"/>
          <w:cols w:space="425" w:num="1"/>
          <w:docGrid w:type="lines" w:linePitch="312" w:charSpace="0"/>
        </w:sectPr>
      </w:pPr>
      <w:r>
        <w:rPr>
          <w:sz w:val="30"/>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857250</wp:posOffset>
                </wp:positionV>
                <wp:extent cx="519303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19303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b/>
                                <w:bCs/>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b/>
                                <w:bCs/>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北京师范大学南山附属学校</w:t>
                            </w:r>
                          </w:p>
                          <w:p>
                            <w:pPr>
                              <w:jc w:val="center"/>
                              <w:rPr>
                                <w:b/>
                                <w:bCs/>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b/>
                                <w:bCs/>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核心素养课程</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5pt;margin-top:67.5pt;height:144pt;width:408.9pt;z-index:251658240;mso-width-relative:page;mso-height-relative:page;" filled="f" stroked="f" coordsize="21600,21600" o:gfxdata="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bJLh7VAAAA&#10;CQEAAA8AAAAAAAAAAQAgAAAAIgAAAGRycy9kb3ducmV2LnhtbFBLAQIUABQAAAAIAIdO4kCGCYL5&#10;IAIAABkEAAAOAAAAAAAAAAEAIAAAACQBAABkcnMvZTJvRG9jLnhtbFBLBQYAAAAABgAGAFkBAAC2&#10;BQAAAAA=&#10;">
                <v:fill on="f" focussize="0,0"/>
                <v:stroke on="f" weight="0.5pt"/>
                <v:imagedata o:title=""/>
                <o:lock v:ext="edit" aspectratio="f"/>
                <v:textbox style="mso-fit-shape-to-text:t;">
                  <w:txbxContent>
                    <w:p>
                      <w:pPr>
                        <w:jc w:val="center"/>
                        <w:rPr>
                          <w:b/>
                          <w:bCs/>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b/>
                          <w:bCs/>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北京师范大学南山附属学校</w:t>
                      </w:r>
                    </w:p>
                    <w:p>
                      <w:pPr>
                        <w:jc w:val="center"/>
                        <w:rPr>
                          <w:b/>
                          <w:bCs/>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b/>
                          <w:bCs/>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核心素养课程</w:t>
                      </w:r>
                    </w:p>
                  </w:txbxContent>
                </v:textbox>
              </v:shape>
            </w:pict>
          </mc:Fallback>
        </mc:AlternateContent>
      </w:r>
      <w:r>
        <w:rPr>
          <w:sz w:val="30"/>
        </w:rPr>
        <mc:AlternateContent>
          <mc:Choice Requires="wps">
            <w:drawing>
              <wp:anchor distT="0" distB="0" distL="114300" distR="114300" simplePos="0" relativeHeight="251660288" behindDoc="0" locked="0" layoutInCell="1" allowOverlap="1">
                <wp:simplePos x="0" y="0"/>
                <wp:positionH relativeFrom="column">
                  <wp:posOffset>2476500</wp:posOffset>
                </wp:positionH>
                <wp:positionV relativeFrom="paragraph">
                  <wp:posOffset>2695575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F8CBAD" w:themeColor="accent2" w:themeTint="66"/>
                                <w:sz w:val="84"/>
                                <w:szCs w:val="84"/>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rFonts w:hint="eastAsia"/>
                                <w:b/>
                                <w:bCs/>
                                <w:color w:val="F8CBAD" w:themeColor="accent2" w:themeTint="66"/>
                                <w:sz w:val="84"/>
                                <w:szCs w:val="84"/>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rPr>
                              <w:t>招</w:t>
                            </w:r>
                          </w:p>
                          <w:p>
                            <w:pPr>
                              <w:rPr>
                                <w:b/>
                                <w:bCs/>
                                <w:color w:val="F8CBAD" w:themeColor="accent2" w:themeTint="66"/>
                                <w:sz w:val="84"/>
                                <w:szCs w:val="84"/>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rFonts w:hint="eastAsia"/>
                                <w:b/>
                                <w:bCs/>
                                <w:color w:val="F8CBAD" w:themeColor="accent2" w:themeTint="66"/>
                                <w:sz w:val="84"/>
                                <w:szCs w:val="84"/>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rPr>
                              <w:t xml:space="preserve">标 </w:t>
                            </w:r>
                          </w:p>
                          <w:p>
                            <w:pPr>
                              <w:rPr>
                                <w:b/>
                                <w:bCs/>
                                <w:color w:val="F8CBAD" w:themeColor="accent2" w:themeTint="66"/>
                                <w:sz w:val="84"/>
                                <w:szCs w:val="84"/>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rFonts w:hint="eastAsia"/>
                                <w:b/>
                                <w:bCs/>
                                <w:color w:val="F8CBAD" w:themeColor="accent2" w:themeTint="66"/>
                                <w:sz w:val="84"/>
                                <w:szCs w:val="84"/>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rPr>
                              <w:t>文</w:t>
                            </w:r>
                          </w:p>
                          <w:p>
                            <w:pPr>
                              <w:rPr>
                                <w:b/>
                                <w:bCs/>
                                <w:color w:val="F8CBAD" w:themeColor="accent2" w:themeTint="66"/>
                                <w:sz w:val="72"/>
                                <w:szCs w:val="72"/>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rFonts w:hint="eastAsia"/>
                                <w:b/>
                                <w:bCs/>
                                <w:color w:val="F8CBAD" w:themeColor="accent2" w:themeTint="66"/>
                                <w:sz w:val="84"/>
                                <w:szCs w:val="84"/>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rPr>
                              <w:t>件</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95pt;margin-top:212.25pt;height:144pt;width:144pt;mso-wrap-style:none;z-index:251660288;mso-width-relative:page;mso-height-relative:page;" filled="f" stroked="f" coordsize="21600,21600" o:gfxdata="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KuKa9oAAAAL&#10;AQAADwAAAAAAAAABACAAAAAiAAAAZHJzL2Rvd25yZXYueG1sUEsBAhQAFAAAAAgAh07iQKqN5Hoa&#10;AgAAFwQAAA4AAAAAAAAAAQAgAAAAKQEAAGRycy9lMm9Eb2MueG1sUEsFBgAAAAAGAAYAWQEAALUF&#10;AAAAAA==&#10;">
                <v:fill on="f" focussize="0,0"/>
                <v:stroke on="f" weight="0.5pt"/>
                <v:imagedata o:title=""/>
                <o:lock v:ext="edit" aspectratio="f"/>
                <v:textbox style="mso-fit-shape-to-text:t;">
                  <w:txbxContent>
                    <w:p>
                      <w:pPr>
                        <w:rPr>
                          <w:b/>
                          <w:bCs/>
                          <w:color w:val="F8CBAD" w:themeColor="accent2" w:themeTint="66"/>
                          <w:sz w:val="84"/>
                          <w:szCs w:val="84"/>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rFonts w:hint="eastAsia"/>
                          <w:b/>
                          <w:bCs/>
                          <w:color w:val="F8CBAD" w:themeColor="accent2" w:themeTint="66"/>
                          <w:sz w:val="84"/>
                          <w:szCs w:val="84"/>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rPr>
                        <w:t>招</w:t>
                      </w:r>
                    </w:p>
                    <w:p>
                      <w:pPr>
                        <w:rPr>
                          <w:b/>
                          <w:bCs/>
                          <w:color w:val="F8CBAD" w:themeColor="accent2" w:themeTint="66"/>
                          <w:sz w:val="84"/>
                          <w:szCs w:val="84"/>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rFonts w:hint="eastAsia"/>
                          <w:b/>
                          <w:bCs/>
                          <w:color w:val="F8CBAD" w:themeColor="accent2" w:themeTint="66"/>
                          <w:sz w:val="84"/>
                          <w:szCs w:val="84"/>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rPr>
                        <w:t xml:space="preserve">标 </w:t>
                      </w:r>
                    </w:p>
                    <w:p>
                      <w:pPr>
                        <w:rPr>
                          <w:b/>
                          <w:bCs/>
                          <w:color w:val="F8CBAD" w:themeColor="accent2" w:themeTint="66"/>
                          <w:sz w:val="84"/>
                          <w:szCs w:val="84"/>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rFonts w:hint="eastAsia"/>
                          <w:b/>
                          <w:bCs/>
                          <w:color w:val="F8CBAD" w:themeColor="accent2" w:themeTint="66"/>
                          <w:sz w:val="84"/>
                          <w:szCs w:val="84"/>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rPr>
                        <w:t>文</w:t>
                      </w:r>
                    </w:p>
                    <w:p>
                      <w:pPr>
                        <w:rPr>
                          <w:b/>
                          <w:bCs/>
                          <w:color w:val="F8CBAD" w:themeColor="accent2" w:themeTint="66"/>
                          <w:sz w:val="72"/>
                          <w:szCs w:val="72"/>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rFonts w:hint="eastAsia"/>
                          <w:b/>
                          <w:bCs/>
                          <w:color w:val="F8CBAD" w:themeColor="accent2" w:themeTint="66"/>
                          <w:sz w:val="84"/>
                          <w:szCs w:val="84"/>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rPr>
                        <w:t>件</w:t>
                      </w:r>
                    </w:p>
                  </w:txbxContent>
                </v:textbox>
              </v:shape>
            </w:pict>
          </mc:Fallback>
        </mc:AlternateContent>
      </w:r>
      <w:r>
        <w:rPr>
          <w:sz w:val="30"/>
        </w:rPr>
        <mc:AlternateContent>
          <mc:Choice Requires="wps">
            <w:drawing>
              <wp:anchor distT="0" distB="0" distL="114300" distR="114300" simplePos="0" relativeHeight="251661312" behindDoc="0" locked="0" layoutInCell="1" allowOverlap="1">
                <wp:simplePos x="0" y="0"/>
                <wp:positionH relativeFrom="column">
                  <wp:posOffset>2203450</wp:posOffset>
                </wp:positionH>
                <wp:positionV relativeFrom="paragraph">
                  <wp:posOffset>7092315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sz w:val="36"/>
                                <w:szCs w:val="36"/>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b/>
                                <w:bCs/>
                                <w:sz w:val="36"/>
                                <w:szCs w:val="36"/>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2020年9月</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73.5pt;margin-top:558.45pt;height:144pt;width:144pt;mso-wrap-style:none;z-index:251661312;mso-width-relative:page;mso-height-relative:page;" filled="f" stroked="f" coordsize="21600,21600" o:gfxdata="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DGMeH2gAAAA0B&#10;AAAPAAAAAAAAAAEAIAAAACIAAABkcnMvZG93bnJldi54bWxQSwECFAAUAAAACACHTuJALYHEdBkC&#10;AAAXBAAADgAAAAAAAAABACAAAAApAQAAZHJzL2Uyb0RvYy54bWxQSwUGAAAAAAYABgBZAQAAtAUA&#10;AAAA&#10;">
                <v:fill on="f" focussize="0,0"/>
                <v:stroke on="f" weight="0.5pt"/>
                <v:imagedata o:title=""/>
                <o:lock v:ext="edit" aspectratio="f"/>
                <v:textbox style="mso-fit-shape-to-text:t;">
                  <w:txbxContent>
                    <w:p>
                      <w:pPr>
                        <w:rPr>
                          <w:b/>
                          <w:bCs/>
                          <w:sz w:val="36"/>
                          <w:szCs w:val="36"/>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b/>
                          <w:bCs/>
                          <w:sz w:val="36"/>
                          <w:szCs w:val="36"/>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2020年9月</w:t>
                      </w:r>
                    </w:p>
                  </w:txbxContent>
                </v:textbox>
              </v:shape>
            </w:pict>
          </mc:Fallback>
        </mc:AlternateContent>
      </w:r>
    </w:p>
    <w:p>
      <w:pPr>
        <w:spacing w:line="360" w:lineRule="auto"/>
        <w:rPr>
          <w:rStyle w:val="20"/>
          <w:rFonts w:ascii="宋体" w:hAnsi="宋体" w:cstheme="minorBidi"/>
          <w:sz w:val="30"/>
          <w:szCs w:val="48"/>
        </w:rPr>
      </w:pPr>
    </w:p>
    <w:p>
      <w:pPr>
        <w:spacing w:line="360" w:lineRule="auto"/>
        <w:rPr>
          <w:rStyle w:val="20"/>
          <w:rFonts w:ascii="宋体" w:hAnsi="宋体" w:cstheme="minorBidi"/>
          <w:sz w:val="30"/>
          <w:szCs w:val="48"/>
        </w:rPr>
      </w:pPr>
      <w:r>
        <w:rPr>
          <w:rStyle w:val="20"/>
          <w:rFonts w:hint="eastAsia" w:ascii="宋体" w:hAnsi="宋体" w:cstheme="minorBidi"/>
          <w:sz w:val="30"/>
          <w:szCs w:val="48"/>
        </w:rPr>
        <w:t>一、投标人的资格条件</w:t>
      </w:r>
    </w:p>
    <w:p>
      <w:pPr>
        <w:shd w:val="clear" w:color="auto" w:fill="FFFFFF"/>
        <w:spacing w:line="360" w:lineRule="auto"/>
        <w:ind w:firstLine="480" w:firstLineChars="200"/>
        <w:rPr>
          <w:szCs w:val="22"/>
        </w:rPr>
      </w:pPr>
      <w:r>
        <w:rPr>
          <w:rFonts w:hint="eastAsia"/>
          <w:szCs w:val="22"/>
        </w:rPr>
        <w:t>1.投标方必须具有独立法人资格；（提供相关证明文件加盖公章）</w:t>
      </w:r>
    </w:p>
    <w:p>
      <w:pPr>
        <w:shd w:val="clear" w:color="auto" w:fill="FFFFFF"/>
        <w:spacing w:line="360" w:lineRule="auto"/>
        <w:ind w:firstLine="480" w:firstLineChars="200"/>
        <w:rPr>
          <w:szCs w:val="22"/>
        </w:rPr>
      </w:pPr>
      <w:r>
        <w:rPr>
          <w:rFonts w:hint="eastAsia"/>
          <w:szCs w:val="22"/>
        </w:rPr>
        <w:t>2.投标方必须向学校提供其营业执照证件；（提供复印件加盖公章）</w:t>
      </w:r>
    </w:p>
    <w:p>
      <w:pPr>
        <w:shd w:val="clear" w:color="auto" w:fill="FFFFFF"/>
        <w:spacing w:line="360" w:lineRule="auto"/>
        <w:ind w:firstLine="480" w:firstLineChars="200"/>
        <w:rPr>
          <w:szCs w:val="22"/>
        </w:rPr>
      </w:pPr>
      <w:r>
        <w:rPr>
          <w:rFonts w:hint="eastAsia"/>
          <w:szCs w:val="22"/>
        </w:rPr>
        <w:t>3.投标人必须承诺参与本项目投标近三年内，在经营活动中无重大违法纪录，以及参与本项目政府采购活动时不存在被有关部门禁止参与政府采购活动情况；（提供承诺函，承诺函格式由投标人根据项目自定）</w:t>
      </w:r>
    </w:p>
    <w:p>
      <w:pPr>
        <w:shd w:val="clear" w:color="auto" w:fill="FFFFFF"/>
        <w:spacing w:line="360" w:lineRule="auto"/>
        <w:ind w:firstLine="480" w:firstLineChars="200"/>
        <w:rPr>
          <w:szCs w:val="22"/>
        </w:rPr>
      </w:pPr>
      <w:r>
        <w:rPr>
          <w:rFonts w:hint="eastAsia"/>
          <w:szCs w:val="22"/>
        </w:rPr>
        <w:t>4.本项目不接受联合投标体。</w:t>
      </w:r>
    </w:p>
    <w:p>
      <w:pPr>
        <w:shd w:val="clear" w:color="auto" w:fill="FFFFFF"/>
        <w:spacing w:line="360" w:lineRule="auto"/>
        <w:ind w:firstLine="480" w:firstLineChars="200"/>
        <w:rPr>
          <w:szCs w:val="22"/>
        </w:rPr>
      </w:pPr>
      <w:r>
        <w:rPr>
          <w:rFonts w:hint="eastAsia"/>
          <w:szCs w:val="22"/>
        </w:rPr>
        <w:t>5.投标方必须出具双师教学服务提供商出具的授权书；（提供复印件加盖公章）</w:t>
      </w:r>
    </w:p>
    <w:p>
      <w:pPr>
        <w:spacing w:line="360" w:lineRule="auto"/>
        <w:rPr>
          <w:rStyle w:val="20"/>
          <w:rFonts w:ascii="宋体" w:hAnsi="宋体" w:cstheme="minorBidi"/>
          <w:sz w:val="30"/>
          <w:szCs w:val="48"/>
        </w:rPr>
      </w:pPr>
    </w:p>
    <w:p>
      <w:pPr>
        <w:spacing w:line="360" w:lineRule="auto"/>
        <w:rPr>
          <w:rStyle w:val="20"/>
          <w:rFonts w:ascii="宋体" w:hAnsi="宋体" w:cstheme="minorBidi"/>
          <w:sz w:val="30"/>
          <w:szCs w:val="48"/>
        </w:rPr>
      </w:pPr>
      <w:r>
        <w:rPr>
          <w:rStyle w:val="20"/>
          <w:rFonts w:hint="eastAsia" w:ascii="宋体" w:hAnsi="宋体" w:cstheme="minorBidi"/>
          <w:sz w:val="30"/>
          <w:szCs w:val="48"/>
        </w:rPr>
        <w:t>二、项目要求</w:t>
      </w:r>
    </w:p>
    <w:p>
      <w:pPr>
        <w:shd w:val="clear" w:color="auto" w:fill="FFFFFF"/>
        <w:spacing w:line="360" w:lineRule="auto"/>
        <w:ind w:firstLine="480" w:firstLineChars="200"/>
      </w:pPr>
      <w:r>
        <w:rPr>
          <w:rFonts w:hint="eastAsia"/>
        </w:rPr>
        <w:t>本项目采购内容为</w:t>
      </w:r>
      <w:r>
        <w:rPr>
          <w:rFonts w:hint="eastAsia"/>
          <w:color w:val="000000" w:themeColor="text1"/>
          <w14:textFill>
            <w14:solidFill>
              <w14:schemeClr w14:val="tx1"/>
            </w14:solidFill>
          </w14:textFill>
        </w:rPr>
        <w:t>初三抽象思维与逻辑课程、综合语言运用课程</w:t>
      </w:r>
      <w:r>
        <w:rPr>
          <w:rFonts w:hint="eastAsia"/>
        </w:rPr>
        <w:t>教学服务；投标人需为采购人提供满足核心素养课程双师教学所需的配套硬件设备（硬件设备项目服务结束后交付给采购人）、双师教学所需的软件服务平台、师资、课件及项目管理等服务。</w:t>
      </w:r>
    </w:p>
    <w:p>
      <w:pPr>
        <w:shd w:val="clear" w:color="auto" w:fill="FFFFFF"/>
        <w:spacing w:line="360" w:lineRule="auto"/>
        <w:ind w:firstLine="482" w:firstLineChars="200"/>
        <w:rPr>
          <w:rStyle w:val="20"/>
          <w:rFonts w:hint="eastAsia" w:ascii="宋体" w:hAnsi="宋体" w:eastAsia="宋体" w:cstheme="minorBidi"/>
          <w:sz w:val="24"/>
          <w:szCs w:val="24"/>
        </w:rPr>
      </w:pPr>
    </w:p>
    <w:tbl>
      <w:tblPr>
        <w:tblStyle w:val="16"/>
        <w:tblW w:w="8669"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500"/>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82" w:type="dxa"/>
            <w:shd w:val="clear" w:color="000000" w:fill="FFFFFF"/>
            <w:vAlign w:val="center"/>
          </w:tcPr>
          <w:p>
            <w:pPr>
              <w:spacing w:line="360" w:lineRule="auto"/>
              <w:jc w:val="center"/>
              <w:rPr>
                <w:b/>
                <w:bCs/>
                <w:color w:val="000000"/>
              </w:rPr>
            </w:pPr>
            <w:r>
              <w:rPr>
                <w:rFonts w:hint="eastAsia"/>
                <w:b/>
                <w:bCs/>
                <w:color w:val="000000"/>
              </w:rPr>
              <w:t>序号</w:t>
            </w:r>
          </w:p>
        </w:tc>
        <w:tc>
          <w:tcPr>
            <w:tcW w:w="1500" w:type="dxa"/>
            <w:shd w:val="clear" w:color="000000" w:fill="FFFFFF"/>
            <w:vAlign w:val="center"/>
          </w:tcPr>
          <w:p>
            <w:pPr>
              <w:spacing w:line="360" w:lineRule="auto"/>
              <w:jc w:val="center"/>
              <w:rPr>
                <w:b/>
                <w:bCs/>
                <w:color w:val="000000"/>
              </w:rPr>
            </w:pPr>
            <w:r>
              <w:rPr>
                <w:rFonts w:hint="eastAsia"/>
                <w:b/>
                <w:bCs/>
                <w:color w:val="000000"/>
              </w:rPr>
              <w:t>名称</w:t>
            </w:r>
          </w:p>
        </w:tc>
        <w:tc>
          <w:tcPr>
            <w:tcW w:w="6487" w:type="dxa"/>
            <w:shd w:val="clear" w:color="000000" w:fill="FFFFFF"/>
            <w:vAlign w:val="center"/>
          </w:tcPr>
          <w:p>
            <w:pPr>
              <w:spacing w:line="360" w:lineRule="auto"/>
              <w:jc w:val="center"/>
              <w:rPr>
                <w:b/>
                <w:bCs/>
                <w:color w:val="000000"/>
              </w:rPr>
            </w:pPr>
            <w:r>
              <w:rPr>
                <w:rFonts w:hint="eastAsia"/>
                <w:b/>
                <w:bCs/>
                <w:color w:val="000000"/>
              </w:rPr>
              <w:t>课程要求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669" w:type="dxa"/>
            <w:gridSpan w:val="3"/>
            <w:shd w:val="clear" w:color="000000" w:fill="FFFFFF"/>
            <w:vAlign w:val="center"/>
          </w:tcPr>
          <w:p>
            <w:pPr>
              <w:spacing w:line="360" w:lineRule="auto"/>
              <w:rPr>
                <w:bCs/>
                <w:color w:val="000000"/>
              </w:rPr>
            </w:pPr>
            <w:r>
              <w:rPr>
                <w:rFonts w:hint="eastAsia"/>
                <w:bCs/>
                <w:color w:val="000000"/>
              </w:rPr>
              <w:t>（一）课程及教研服务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82" w:type="dxa"/>
            <w:shd w:val="clear" w:color="000000" w:fill="FFFFFF"/>
            <w:vAlign w:val="center"/>
          </w:tcPr>
          <w:p>
            <w:pPr>
              <w:spacing w:line="360" w:lineRule="auto"/>
              <w:jc w:val="center"/>
            </w:pPr>
            <w:r>
              <w:t>1</w:t>
            </w:r>
          </w:p>
        </w:tc>
        <w:tc>
          <w:tcPr>
            <w:tcW w:w="1500" w:type="dxa"/>
            <w:shd w:val="clear" w:color="000000" w:fill="FFFFFF"/>
            <w:vAlign w:val="center"/>
          </w:tcPr>
          <w:p>
            <w:pPr>
              <w:spacing w:line="360" w:lineRule="auto"/>
              <w:jc w:val="center"/>
            </w:pPr>
            <w:r>
              <w:rPr>
                <w:rFonts w:hint="eastAsia"/>
              </w:rPr>
              <w:t>授课服务</w:t>
            </w:r>
          </w:p>
        </w:tc>
        <w:tc>
          <w:tcPr>
            <w:tcW w:w="6487" w:type="dxa"/>
            <w:shd w:val="clear" w:color="000000" w:fill="FFFFFF"/>
            <w:vAlign w:val="center"/>
          </w:tcPr>
          <w:p>
            <w:pPr>
              <w:numPr>
                <w:ilvl w:val="0"/>
                <w:numId w:val="1"/>
              </w:numPr>
              <w:spacing w:line="360" w:lineRule="auto"/>
              <w:rPr>
                <w:color w:val="000000"/>
              </w:rPr>
            </w:pPr>
            <w:r>
              <w:rPr>
                <w:rFonts w:hint="eastAsia"/>
                <w:color w:val="000000"/>
              </w:rPr>
              <w:t>需提供</w:t>
            </w:r>
            <w:r>
              <w:rPr>
                <w:rFonts w:hint="eastAsia"/>
                <w:color w:val="000000" w:themeColor="text1"/>
                <w14:textFill>
                  <w14:solidFill>
                    <w14:schemeClr w14:val="tx1"/>
                  </w14:solidFill>
                </w14:textFill>
              </w:rPr>
              <w:t>初三抽象思维与逻辑课程、综合语言运用课程</w:t>
            </w:r>
            <w:r>
              <w:rPr>
                <w:rFonts w:hint="eastAsia"/>
                <w:color w:val="000000"/>
              </w:rPr>
              <w:t>的授课服务；</w:t>
            </w:r>
          </w:p>
          <w:p>
            <w:pPr>
              <w:numPr>
                <w:ilvl w:val="0"/>
                <w:numId w:val="1"/>
              </w:numPr>
              <w:spacing w:line="360" w:lineRule="auto"/>
              <w:rPr>
                <w:color w:val="000000"/>
              </w:rPr>
            </w:pPr>
            <w:r>
              <w:rPr>
                <w:rFonts w:hint="eastAsia"/>
                <w:color w:val="000000"/>
              </w:rPr>
              <w:t>授课内容应以纵向加深、横向拓展为主，启发学生思维；</w:t>
            </w:r>
          </w:p>
          <w:p>
            <w:pPr>
              <w:numPr>
                <w:ilvl w:val="0"/>
                <w:numId w:val="1"/>
              </w:numPr>
              <w:spacing w:line="360" w:lineRule="auto"/>
              <w:rPr>
                <w:color w:val="000000"/>
              </w:rPr>
            </w:pPr>
            <w:r>
              <w:rPr>
                <w:color w:val="000000"/>
              </w:rPr>
              <w:t>为初三年级提供不少于15次的抽象思维与逻辑课程服务，培养学生抽象思维、逻辑推理、初级建模、运算逻辑、直观想象和数据分析等方面的核心素养，进而帮助学生学会用逻辑</w:t>
            </w:r>
            <w:r>
              <w:rPr>
                <w:rFonts w:hint="eastAsia"/>
                <w:color w:val="000000"/>
                <w:lang w:val="en-US" w:eastAsia="zh-CN"/>
              </w:rPr>
              <w:t>思维</w:t>
            </w:r>
            <w:r>
              <w:rPr>
                <w:color w:val="000000"/>
              </w:rPr>
              <w:t>思考问题；会用抽象的角度看待问题；会用分析的方法解决问题。抽象思维与逻辑课程每次课不少于2课时，每课时不少于45分钟，共计不少于30课时。</w:t>
            </w:r>
          </w:p>
          <w:p>
            <w:pPr>
              <w:numPr>
                <w:ilvl w:val="0"/>
                <w:numId w:val="1"/>
              </w:numPr>
              <w:spacing w:line="360" w:lineRule="auto"/>
              <w:rPr>
                <w:color w:val="000000"/>
              </w:rPr>
            </w:pPr>
            <w:r>
              <w:rPr>
                <w:color w:val="000000"/>
              </w:rPr>
              <w:t>为初三年级提供不少于15次的综合语言运用课程服务，</w:t>
            </w:r>
            <w:r>
              <w:rPr>
                <w:rFonts w:hint="eastAsia"/>
                <w:color w:val="000000"/>
              </w:rPr>
              <w:t>培养学生用于解决语言学习中遇到的实际问题的能力，及满足个性发展和终身发展需要的语言能力、文化品格、思维品质和学习能力</w:t>
            </w:r>
            <w:r>
              <w:rPr>
                <w:color w:val="000000"/>
              </w:rPr>
              <w:t>。综合语言运用课程每次课不少于2课时，每课时不少于45分钟，共计不少于30</w:t>
            </w:r>
            <w:bookmarkStart w:id="0" w:name="_GoBack"/>
            <w:bookmarkEnd w:id="0"/>
            <w:r>
              <w:rPr>
                <w:color w:val="000000"/>
              </w:rPr>
              <w:t>课时。</w:t>
            </w:r>
          </w:p>
          <w:p>
            <w:pPr>
              <w:numPr>
                <w:ilvl w:val="0"/>
                <w:numId w:val="1"/>
              </w:numPr>
              <w:spacing w:line="360" w:lineRule="auto"/>
              <w:rPr>
                <w:color w:val="000000"/>
              </w:rPr>
            </w:pPr>
            <w:r>
              <w:rPr>
                <w:color w:val="000000"/>
              </w:rPr>
              <w:t>2</w:t>
            </w:r>
            <w:r>
              <w:rPr>
                <w:rFonts w:hint="eastAsia"/>
                <w:color w:val="000000"/>
              </w:rPr>
              <w:t>门核心素养课程共计不少于</w:t>
            </w:r>
            <w:r>
              <w:rPr>
                <w:color w:val="000000"/>
              </w:rPr>
              <w:t>60</w:t>
            </w:r>
            <w:r>
              <w:rPr>
                <w:rFonts w:hint="eastAsia"/>
                <w:color w:val="000000"/>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82" w:type="dxa"/>
            <w:shd w:val="clear" w:color="000000" w:fill="FFFFFF"/>
            <w:vAlign w:val="center"/>
          </w:tcPr>
          <w:p>
            <w:pPr>
              <w:spacing w:line="360" w:lineRule="auto"/>
              <w:jc w:val="center"/>
            </w:pPr>
            <w:r>
              <w:t>2</w:t>
            </w:r>
          </w:p>
        </w:tc>
        <w:tc>
          <w:tcPr>
            <w:tcW w:w="1500" w:type="dxa"/>
            <w:shd w:val="clear" w:color="000000" w:fill="FFFFFF"/>
            <w:vAlign w:val="center"/>
          </w:tcPr>
          <w:p>
            <w:pPr>
              <w:spacing w:line="360" w:lineRule="auto"/>
              <w:jc w:val="center"/>
              <w:rPr>
                <w:color w:val="000000"/>
              </w:rPr>
            </w:pPr>
            <w:r>
              <w:rPr>
                <w:rFonts w:hint="eastAsia"/>
                <w:color w:val="000000"/>
              </w:rPr>
              <w:t>联合教研</w:t>
            </w:r>
          </w:p>
          <w:p>
            <w:pPr>
              <w:spacing w:line="360" w:lineRule="auto"/>
              <w:jc w:val="center"/>
            </w:pPr>
            <w:r>
              <w:rPr>
                <w:rFonts w:hint="eastAsia"/>
                <w:color w:val="000000"/>
              </w:rPr>
              <w:t>服务要求</w:t>
            </w:r>
          </w:p>
        </w:tc>
        <w:tc>
          <w:tcPr>
            <w:tcW w:w="6487" w:type="dxa"/>
            <w:shd w:val="clear" w:color="000000" w:fill="FFFFFF"/>
            <w:vAlign w:val="center"/>
          </w:tcPr>
          <w:p>
            <w:pPr>
              <w:pStyle w:val="23"/>
              <w:widowControl/>
              <w:numPr>
                <w:ilvl w:val="0"/>
                <w:numId w:val="2"/>
              </w:numPr>
              <w:shd w:val="clear" w:color="auto" w:fill="FFFFFF"/>
              <w:spacing w:line="360" w:lineRule="auto"/>
              <w:ind w:firstLineChars="0"/>
              <w:jc w:val="left"/>
              <w:rPr>
                <w:rFonts w:ascii="宋体" w:hAnsi="宋体" w:cs="宋体"/>
                <w:color w:val="000000"/>
                <w:kern w:val="0"/>
                <w:sz w:val="24"/>
                <w:szCs w:val="24"/>
              </w:rPr>
            </w:pPr>
            <w:r>
              <w:rPr>
                <w:rFonts w:hint="eastAsia" w:ascii="宋体" w:hAnsi="宋体" w:cs="宋体"/>
                <w:color w:val="000000"/>
                <w:kern w:val="0"/>
                <w:sz w:val="24"/>
                <w:szCs w:val="24"/>
              </w:rPr>
              <w:t>需要在每次开课前线上主讲老师与学校辅导老师进行联合教研，沟通教学大纲和前几讲的内容、配合动作等，授课过程中，每次课后主讲和学校辅导老师对本节课进行复盘，并沟通下节课内容。</w:t>
            </w:r>
          </w:p>
          <w:p>
            <w:pPr>
              <w:pStyle w:val="23"/>
              <w:widowControl/>
              <w:numPr>
                <w:ilvl w:val="0"/>
                <w:numId w:val="2"/>
              </w:numPr>
              <w:shd w:val="clear" w:color="auto" w:fill="FFFFFF"/>
              <w:spacing w:line="360" w:lineRule="auto"/>
              <w:ind w:firstLineChars="0"/>
              <w:jc w:val="left"/>
              <w:rPr>
                <w:rFonts w:ascii="宋体" w:hAnsi="宋体" w:cs="宋体"/>
                <w:color w:val="000000"/>
                <w:kern w:val="0"/>
                <w:sz w:val="24"/>
                <w:szCs w:val="24"/>
              </w:rPr>
            </w:pPr>
            <w:r>
              <w:rPr>
                <w:rFonts w:hint="eastAsia" w:ascii="宋体" w:hAnsi="宋体" w:cs="宋体"/>
                <w:color w:val="000000"/>
                <w:kern w:val="0"/>
                <w:sz w:val="24"/>
                <w:szCs w:val="24"/>
              </w:rPr>
              <w:t>要求前三次课、期中、期末，一共做不少于5次的学生课程满意度调研和线下教师授课反馈调研。</w:t>
            </w:r>
          </w:p>
          <w:p>
            <w:pPr>
              <w:numPr>
                <w:ilvl w:val="0"/>
                <w:numId w:val="2"/>
              </w:numPr>
              <w:shd w:val="clear" w:color="auto" w:fill="FFFFFF"/>
              <w:spacing w:line="360" w:lineRule="auto"/>
              <w:rPr>
                <w:color w:val="000000"/>
              </w:rPr>
            </w:pPr>
            <w:r>
              <w:rPr>
                <w:rFonts w:hint="eastAsia"/>
                <w:color w:val="000000"/>
              </w:rPr>
              <w:t>提供联合教研会议纪要、课程大纲、课程讲义、双师课程满意度调查问卷和授课反馈表。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669" w:type="dxa"/>
            <w:gridSpan w:val="3"/>
            <w:shd w:val="clear" w:color="000000" w:fill="FFFFFF"/>
            <w:vAlign w:val="center"/>
          </w:tcPr>
          <w:p>
            <w:pPr>
              <w:shd w:val="clear" w:color="auto" w:fill="FFFFFF"/>
              <w:spacing w:line="360" w:lineRule="auto"/>
              <w:rPr>
                <w:color w:val="000000"/>
              </w:rPr>
            </w:pPr>
            <w:r>
              <w:rPr>
                <w:rFonts w:hint="eastAsia"/>
                <w:color w:val="000000"/>
              </w:rPr>
              <w:t>（二）直播系统技术要求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82" w:type="dxa"/>
            <w:vAlign w:val="center"/>
          </w:tcPr>
          <w:p>
            <w:pPr>
              <w:spacing w:line="360" w:lineRule="auto"/>
              <w:jc w:val="center"/>
              <w:rPr>
                <w:color w:val="000000"/>
              </w:rPr>
            </w:pPr>
            <w:r>
              <w:rPr>
                <w:color w:val="000000"/>
              </w:rPr>
              <w:t>3</w:t>
            </w:r>
          </w:p>
        </w:tc>
        <w:tc>
          <w:tcPr>
            <w:tcW w:w="1500" w:type="dxa"/>
            <w:vAlign w:val="center"/>
          </w:tcPr>
          <w:p>
            <w:pPr>
              <w:spacing w:line="360" w:lineRule="auto"/>
              <w:jc w:val="center"/>
              <w:rPr>
                <w:color w:val="000000"/>
              </w:rPr>
            </w:pPr>
            <w:r>
              <w:rPr>
                <w:rFonts w:hint="eastAsia"/>
                <w:color w:val="000000"/>
              </w:rPr>
              <w:t>直播系统</w:t>
            </w:r>
          </w:p>
        </w:tc>
        <w:tc>
          <w:tcPr>
            <w:tcW w:w="6487" w:type="dxa"/>
            <w:shd w:val="clear" w:color="auto" w:fill="auto"/>
            <w:vAlign w:val="center"/>
          </w:tcPr>
          <w:p>
            <w:pPr>
              <w:numPr>
                <w:ilvl w:val="0"/>
                <w:numId w:val="3"/>
              </w:numPr>
              <w:spacing w:line="360" w:lineRule="auto"/>
              <w:rPr>
                <w:color w:val="000000"/>
              </w:rPr>
            </w:pPr>
            <w:r>
              <w:rPr>
                <w:rFonts w:hint="eastAsia"/>
                <w:color w:val="000000"/>
              </w:rPr>
              <w:t>直播视频接入授权（服务）支持标准的H.323，SIP双协议，支持H.264和H264High Profile。</w:t>
            </w:r>
          </w:p>
          <w:p>
            <w:pPr>
              <w:numPr>
                <w:ilvl w:val="0"/>
                <w:numId w:val="3"/>
              </w:numPr>
              <w:spacing w:line="360" w:lineRule="auto"/>
              <w:rPr>
                <w:color w:val="000000"/>
              </w:rPr>
            </w:pPr>
            <w:r>
              <w:rPr>
                <w:rFonts w:hint="eastAsia"/>
                <w:color w:val="000000"/>
              </w:rPr>
              <w:t>支持QCIF到1080P的视频分辨率。可以设置主发言人发言模式（视频画面固定、</w:t>
            </w:r>
            <w:r>
              <w:rPr>
                <w:color w:val="000000"/>
              </w:rPr>
              <w:t>语音激励或者</w:t>
            </w:r>
            <w:r>
              <w:rPr>
                <w:rFonts w:hint="eastAsia"/>
                <w:color w:val="000000"/>
              </w:rPr>
              <w:t>指定）、多种分屏等功能设置。</w:t>
            </w:r>
          </w:p>
          <w:p>
            <w:pPr>
              <w:numPr>
                <w:ilvl w:val="0"/>
                <w:numId w:val="3"/>
              </w:numPr>
              <w:spacing w:line="360" w:lineRule="auto"/>
              <w:rPr>
                <w:color w:val="000000"/>
              </w:rPr>
            </w:pPr>
            <w:r>
              <w:rPr>
                <w:rFonts w:hint="eastAsia"/>
                <w:color w:val="000000"/>
              </w:rPr>
              <w:t>支持显示当前学校的所有课程，可创建、删除</w:t>
            </w:r>
            <w:r>
              <w:rPr>
                <w:color w:val="000000"/>
              </w:rPr>
              <w:t>、灵活编辑课程。</w:t>
            </w:r>
            <w:r>
              <w:rPr>
                <w:rFonts w:hint="eastAsia"/>
                <w:color w:val="000000"/>
              </w:rPr>
              <w:t>对接入</w:t>
            </w:r>
            <w:r>
              <w:rPr>
                <w:color w:val="000000"/>
              </w:rPr>
              <w:t>教室有授权管理，</w:t>
            </w:r>
            <w:r>
              <w:rPr>
                <w:rFonts w:hint="eastAsia"/>
                <w:color w:val="000000"/>
              </w:rPr>
              <w:t>不得到</w:t>
            </w:r>
            <w:r>
              <w:rPr>
                <w:color w:val="000000"/>
              </w:rPr>
              <w:t>授权的教室不能接入平台</w:t>
            </w:r>
            <w:r>
              <w:rPr>
                <w:rFonts w:hint="eastAsia"/>
                <w:color w:val="000000"/>
              </w:rPr>
              <w:t>。</w:t>
            </w:r>
          </w:p>
          <w:p>
            <w:pPr>
              <w:numPr>
                <w:ilvl w:val="0"/>
                <w:numId w:val="3"/>
              </w:numPr>
              <w:spacing w:line="360" w:lineRule="auto"/>
              <w:rPr>
                <w:color w:val="000000"/>
              </w:rPr>
            </w:pPr>
            <w:r>
              <w:rPr>
                <w:rFonts w:hint="eastAsia"/>
                <w:color w:val="000000"/>
              </w:rPr>
              <w:t>视频编解码器应采用分体式结构；支持</w:t>
            </w:r>
            <w:r>
              <w:rPr>
                <w:color w:val="000000"/>
              </w:rPr>
              <w:t>ITU-T G.722.1</w:t>
            </w:r>
            <w:r>
              <w:rPr>
                <w:rFonts w:hint="eastAsia"/>
                <w:color w:val="000000"/>
              </w:rPr>
              <w:t>、</w:t>
            </w:r>
            <w:r>
              <w:rPr>
                <w:color w:val="000000"/>
              </w:rPr>
              <w:t>G.722.1 C</w:t>
            </w:r>
            <w:r>
              <w:rPr>
                <w:rFonts w:hint="eastAsia"/>
                <w:color w:val="000000"/>
              </w:rPr>
              <w:t>、</w:t>
            </w:r>
            <w:r>
              <w:rPr>
                <w:color w:val="000000"/>
              </w:rPr>
              <w:t>G.719</w:t>
            </w:r>
            <w:r>
              <w:rPr>
                <w:rFonts w:hint="eastAsia"/>
                <w:color w:val="000000"/>
              </w:rPr>
              <w:t>音频编解码标准，音频频率可达</w:t>
            </w:r>
            <w:r>
              <w:rPr>
                <w:color w:val="000000"/>
              </w:rPr>
              <w:t>20KHZ</w:t>
            </w:r>
            <w:r>
              <w:rPr>
                <w:rFonts w:hint="eastAsia"/>
                <w:color w:val="000000"/>
              </w:rPr>
              <w:t>；</w:t>
            </w:r>
            <w:r>
              <w:rPr>
                <w:color w:val="000000"/>
              </w:rPr>
              <w:t>支持</w:t>
            </w:r>
            <w:r>
              <w:rPr>
                <w:rFonts w:hint="eastAsia"/>
                <w:color w:val="000000"/>
              </w:rPr>
              <w:t>H.261、H.263、H.264、H.264 High Profile、H.264 SVC；支持自动增益控制、自动噪声抑制、快速自适应回声消除功能；</w:t>
            </w:r>
          </w:p>
          <w:p>
            <w:pPr>
              <w:numPr>
                <w:ilvl w:val="0"/>
                <w:numId w:val="3"/>
              </w:numPr>
              <w:spacing w:line="360" w:lineRule="auto"/>
              <w:rPr>
                <w:color w:val="000000"/>
              </w:rPr>
            </w:pPr>
            <w:r>
              <w:rPr>
                <w:rFonts w:hint="eastAsia"/>
                <w:color w:val="000000"/>
              </w:rPr>
              <w:t>系统具备先进的丢包恢复机制，配合核心云平台能够实现在</w:t>
            </w:r>
            <w:r>
              <w:rPr>
                <w:color w:val="000000"/>
              </w:rPr>
              <w:t>20%</w:t>
            </w:r>
            <w:r>
              <w:rPr>
                <w:rFonts w:hint="eastAsia"/>
                <w:color w:val="000000"/>
              </w:rPr>
              <w:t>的丢包情况下，图像质量不受影响；支持高清双流技术,支持单屏单显、单屏双显功能；满足1080P</w:t>
            </w:r>
            <w:r>
              <w:rPr>
                <w:color w:val="000000"/>
              </w:rPr>
              <w:t>30fps</w:t>
            </w:r>
            <w:r>
              <w:rPr>
                <w:rFonts w:hint="eastAsia"/>
                <w:color w:val="000000"/>
              </w:rPr>
              <w:t>分辨率的视频和内容协作，且</w:t>
            </w:r>
            <w:r>
              <w:rPr>
                <w:color w:val="000000"/>
              </w:rPr>
              <w:t>对网络</w:t>
            </w:r>
            <w:r>
              <w:rPr>
                <w:rFonts w:hint="eastAsia"/>
                <w:color w:val="000000"/>
              </w:rPr>
              <w:t>带宽</w:t>
            </w:r>
            <w:r>
              <w:rPr>
                <w:color w:val="000000"/>
              </w:rPr>
              <w:t>要求不高于</w:t>
            </w:r>
            <w:r>
              <w:rPr>
                <w:rFonts w:hint="eastAsia"/>
                <w:color w:val="000000"/>
              </w:rPr>
              <w:t>2M</w:t>
            </w:r>
            <w:r>
              <w:rPr>
                <w:color w:val="000000"/>
              </w:rPr>
              <w:t>bps</w:t>
            </w:r>
            <w:r>
              <w:rPr>
                <w:rFonts w:hint="eastAsia"/>
                <w:color w:val="000000"/>
              </w:rPr>
              <w:t>；</w:t>
            </w:r>
            <w:r>
              <w:rPr>
                <w:color w:val="000000"/>
              </w:rPr>
              <w:t xml:space="preserve"> </w:t>
            </w:r>
          </w:p>
          <w:p>
            <w:pPr>
              <w:numPr>
                <w:ilvl w:val="0"/>
                <w:numId w:val="3"/>
              </w:numPr>
              <w:spacing w:line="360" w:lineRule="auto"/>
              <w:rPr>
                <w:color w:val="000000"/>
              </w:rPr>
            </w:pPr>
            <w:r>
              <w:rPr>
                <w:rFonts w:hint="eastAsia"/>
                <w:color w:val="000000"/>
              </w:rPr>
              <w:t>系统支持</w:t>
            </w:r>
            <w:r>
              <w:rPr>
                <w:color w:val="000000"/>
              </w:rPr>
              <w:t>双流模式，</w:t>
            </w:r>
            <w:r>
              <w:rPr>
                <w:rFonts w:hint="eastAsia"/>
                <w:color w:val="000000"/>
              </w:rPr>
              <w:t>视频</w:t>
            </w:r>
            <w:r>
              <w:rPr>
                <w:color w:val="000000"/>
              </w:rPr>
              <w:t>流和数据流同步</w:t>
            </w:r>
            <w:r>
              <w:rPr>
                <w:rFonts w:hint="eastAsia"/>
                <w:color w:val="000000"/>
              </w:rPr>
              <w:t>并且流畅</w:t>
            </w:r>
            <w:r>
              <w:rPr>
                <w:color w:val="000000"/>
              </w:rPr>
              <w:t>。</w:t>
            </w:r>
          </w:p>
          <w:p>
            <w:pPr>
              <w:numPr>
                <w:ilvl w:val="0"/>
                <w:numId w:val="3"/>
              </w:numPr>
              <w:spacing w:line="360" w:lineRule="auto"/>
              <w:rPr>
                <w:color w:val="000000"/>
              </w:rPr>
            </w:pPr>
            <w:r>
              <w:rPr>
                <w:rFonts w:hint="eastAsia"/>
                <w:color w:val="000000"/>
              </w:rPr>
              <w:t>视频客户端支持网络状态统计功能，能够体现呼叫信息统计，视频协议、视频帧率、视频带宽、音频协议、音频带宽、视频丢包、音频丢包、网络抖动延时等信息。</w:t>
            </w:r>
          </w:p>
          <w:p>
            <w:pPr>
              <w:numPr>
                <w:ilvl w:val="0"/>
                <w:numId w:val="3"/>
              </w:numPr>
              <w:spacing w:line="360" w:lineRule="auto"/>
              <w:rPr>
                <w:color w:val="000000"/>
              </w:rPr>
            </w:pPr>
            <w:r>
              <w:rPr>
                <w:rFonts w:hint="eastAsia"/>
                <w:color w:val="000000"/>
              </w:rPr>
              <w:t>直播课管理平台支持</w:t>
            </w:r>
            <w:r>
              <w:rPr>
                <w:color w:val="000000"/>
              </w:rPr>
              <w:t>在</w:t>
            </w:r>
            <w:r>
              <w:rPr>
                <w:rFonts w:hint="eastAsia"/>
                <w:color w:val="000000"/>
              </w:rPr>
              <w:t>授课</w:t>
            </w:r>
            <w:r>
              <w:rPr>
                <w:color w:val="000000"/>
              </w:rPr>
              <w:t>过程中自动生成课程过程视频。</w:t>
            </w:r>
            <w:r>
              <w:rPr>
                <w:rFonts w:hint="eastAsia"/>
                <w:color w:val="000000"/>
              </w:rPr>
              <w:t>录播视频的访问</w:t>
            </w:r>
            <w:r>
              <w:rPr>
                <w:color w:val="000000"/>
              </w:rPr>
              <w:t>权限需</w:t>
            </w:r>
            <w:r>
              <w:rPr>
                <w:rFonts w:hint="eastAsia"/>
                <w:color w:val="000000"/>
              </w:rPr>
              <w:t>和</w:t>
            </w:r>
            <w:r>
              <w:rPr>
                <w:color w:val="000000"/>
              </w:rPr>
              <w:t>课程权限一致。</w:t>
            </w:r>
            <w:r>
              <w:rPr>
                <w:rFonts w:hint="eastAsia"/>
                <w:color w:val="000000"/>
              </w:rPr>
              <w:t>录播视频</w:t>
            </w:r>
            <w:r>
              <w:rPr>
                <w:color w:val="000000"/>
              </w:rPr>
              <w:t>具备防盗链和防下载的功能。</w:t>
            </w:r>
          </w:p>
          <w:p>
            <w:pPr>
              <w:numPr>
                <w:ilvl w:val="0"/>
                <w:numId w:val="3"/>
              </w:numPr>
              <w:spacing w:line="360" w:lineRule="auto"/>
              <w:rPr>
                <w:color w:val="000000"/>
              </w:rPr>
            </w:pPr>
            <w:r>
              <w:rPr>
                <w:rFonts w:hint="eastAsia"/>
                <w:color w:val="000000"/>
              </w:rPr>
              <w:t>直播平台支持高清、标清混合组网，实现跨复杂网络的可靠有效传输，可根据网络具体情况配置负载均衡策略，以适应复杂的网络结构（如LAN、ADSL、VPN、INTERNET等网络）和不同的通信信道(光纤卫星、3G、4G、LTE等)。支持动态自适应带宽技术，动态检测，灵活调整带，3G/4G下流畅沟通。在带宽/网络质量下降时自动优先保证语音通信，保障直播课的正常进行。</w:t>
            </w:r>
          </w:p>
          <w:p>
            <w:pPr>
              <w:numPr>
                <w:ilvl w:val="0"/>
                <w:numId w:val="3"/>
              </w:numPr>
              <w:spacing w:line="360" w:lineRule="auto"/>
              <w:rPr>
                <w:color w:val="000000"/>
              </w:rPr>
            </w:pPr>
            <w:r>
              <w:rPr>
                <w:rFonts w:hint="eastAsia"/>
                <w:color w:val="000000"/>
              </w:rPr>
              <w:t>系统具备向后和向前兼容性。单个</w:t>
            </w:r>
            <w:r>
              <w:rPr>
                <w:color w:val="000000"/>
              </w:rPr>
              <w:t>直播课程，支持</w:t>
            </w:r>
            <w:r>
              <w:rPr>
                <w:rFonts w:hint="eastAsia"/>
                <w:color w:val="000000"/>
              </w:rPr>
              <w:t>20个</w:t>
            </w:r>
            <w:r>
              <w:rPr>
                <w:color w:val="000000"/>
              </w:rPr>
              <w:t>教室</w:t>
            </w:r>
            <w:r>
              <w:rPr>
                <w:rFonts w:hint="eastAsia"/>
                <w:color w:val="000000"/>
              </w:rPr>
              <w:t>并发720P源码高清视频双工互动，</w:t>
            </w:r>
            <w:r>
              <w:rPr>
                <w:color w:val="000000"/>
              </w:rPr>
              <w:t>且老师端、学生端</w:t>
            </w:r>
            <w:r>
              <w:rPr>
                <w:rFonts w:hint="eastAsia"/>
                <w:color w:val="000000"/>
              </w:rPr>
              <w:t>对</w:t>
            </w:r>
            <w:r>
              <w:rPr>
                <w:color w:val="000000"/>
              </w:rPr>
              <w:t>网络要求是</w:t>
            </w:r>
            <w:r>
              <w:rPr>
                <w:rFonts w:hint="eastAsia"/>
                <w:color w:val="000000"/>
              </w:rPr>
              <w:t>一致</w:t>
            </w:r>
            <w:r>
              <w:rPr>
                <w:color w:val="000000"/>
              </w:rPr>
              <w:t>的，不高于</w:t>
            </w:r>
            <w:r>
              <w:rPr>
                <w:rFonts w:hint="eastAsia"/>
                <w:color w:val="000000"/>
              </w:rPr>
              <w:t>2M</w:t>
            </w:r>
            <w:r>
              <w:rPr>
                <w:color w:val="000000"/>
              </w:rPr>
              <w:t>bps</w:t>
            </w:r>
            <w:r>
              <w:rPr>
                <w:rFonts w:hint="eastAsia"/>
                <w:color w:val="000000"/>
              </w:rPr>
              <w:t>；</w:t>
            </w:r>
          </w:p>
          <w:p>
            <w:pPr>
              <w:numPr>
                <w:ilvl w:val="0"/>
                <w:numId w:val="3"/>
              </w:numPr>
              <w:spacing w:line="360" w:lineRule="auto"/>
              <w:rPr>
                <w:color w:val="000000"/>
              </w:rPr>
            </w:pPr>
            <w:r>
              <w:rPr>
                <w:color w:val="000000"/>
              </w:rPr>
              <w:t>可支持</w:t>
            </w:r>
            <w:r>
              <w:rPr>
                <w:rFonts w:hint="eastAsia"/>
                <w:color w:val="000000"/>
              </w:rPr>
              <w:t>100至300个</w:t>
            </w:r>
            <w:r>
              <w:rPr>
                <w:color w:val="000000"/>
              </w:rPr>
              <w:t>教室并发</w:t>
            </w:r>
            <w:r>
              <w:rPr>
                <w:rFonts w:hint="eastAsia"/>
                <w:color w:val="000000"/>
              </w:rPr>
              <w:t>720P源码高清</w:t>
            </w:r>
            <w:r>
              <w:rPr>
                <w:color w:val="000000"/>
              </w:rPr>
              <w:t>视频</w:t>
            </w:r>
            <w:r>
              <w:rPr>
                <w:rFonts w:hint="eastAsia"/>
                <w:color w:val="000000"/>
              </w:rPr>
              <w:t>双工</w:t>
            </w:r>
            <w:r>
              <w:rPr>
                <w:color w:val="000000"/>
              </w:rPr>
              <w:t>互动；</w:t>
            </w:r>
            <w:r>
              <w:rPr>
                <w:rFonts w:hint="eastAsia"/>
                <w:color w:val="000000"/>
              </w:rPr>
              <w:t>并具备扩容到</w:t>
            </w:r>
            <w:r>
              <w:rPr>
                <w:color w:val="000000"/>
              </w:rPr>
              <w:t>3</w:t>
            </w:r>
            <w:r>
              <w:rPr>
                <w:rFonts w:hint="eastAsia"/>
                <w:color w:val="000000"/>
              </w:rPr>
              <w:t>00个-3000个教室并发的能力。系统控制平台可实现用户创建数量的按需扩展；</w:t>
            </w:r>
          </w:p>
          <w:p>
            <w:pPr>
              <w:numPr>
                <w:ilvl w:val="0"/>
                <w:numId w:val="3"/>
              </w:numPr>
              <w:spacing w:line="360" w:lineRule="auto"/>
              <w:rPr>
                <w:color w:val="000000"/>
              </w:rPr>
            </w:pPr>
            <w:r>
              <w:rPr>
                <w:rFonts w:hint="eastAsia"/>
                <w:color w:val="000000"/>
              </w:rPr>
              <w:t>视频云服务器不存储客户的通信数据，仅作转发和加密处理。对视频会话内容采用TLS 128协议进行加密。直播课参与者通过一个专属的逻辑连接接入通信网络，通信连接被严格的控制在专属的通信过程中，任何其他人员都无法使用此会话链接；同时也支持将所有的会话参数进行会话层的加密，支持AES128bit的加密级别；</w:t>
            </w:r>
          </w:p>
          <w:p>
            <w:pPr>
              <w:numPr>
                <w:ilvl w:val="0"/>
                <w:numId w:val="3"/>
              </w:numPr>
              <w:spacing w:line="360" w:lineRule="auto"/>
              <w:rPr>
                <w:color w:val="000000"/>
              </w:rPr>
            </w:pPr>
            <w:r>
              <w:rPr>
                <w:rFonts w:hint="eastAsia"/>
                <w:color w:val="000000"/>
              </w:rPr>
              <w:t>客户端</w:t>
            </w:r>
            <w:r>
              <w:rPr>
                <w:color w:val="000000"/>
              </w:rPr>
              <w:t>支持</w:t>
            </w:r>
            <w:r>
              <w:rPr>
                <w:rFonts w:hint="eastAsia"/>
                <w:color w:val="000000"/>
              </w:rPr>
              <w:t>强大的信息共享功能。基于安全</w:t>
            </w:r>
            <w:r>
              <w:rPr>
                <w:color w:val="000000"/>
              </w:rPr>
              <w:t>考虑，共享的所有内容，不得上传至</w:t>
            </w:r>
            <w:r>
              <w:rPr>
                <w:rFonts w:hint="eastAsia"/>
                <w:color w:val="000000"/>
              </w:rPr>
              <w:t>服务器/云端。PC端（Windows/Mac）主要的数据协作能力如下：</w:t>
            </w:r>
          </w:p>
          <w:p>
            <w:pPr>
              <w:numPr>
                <w:ilvl w:val="0"/>
                <w:numId w:val="4"/>
              </w:numPr>
              <w:spacing w:line="360" w:lineRule="auto"/>
              <w:rPr>
                <w:color w:val="000000"/>
              </w:rPr>
            </w:pPr>
            <w:r>
              <w:rPr>
                <w:rFonts w:hint="eastAsia"/>
                <w:color w:val="000000"/>
              </w:rPr>
              <w:t>桌面共享；</w:t>
            </w:r>
          </w:p>
          <w:p>
            <w:pPr>
              <w:numPr>
                <w:ilvl w:val="0"/>
                <w:numId w:val="4"/>
              </w:numPr>
              <w:spacing w:line="360" w:lineRule="auto"/>
              <w:rPr>
                <w:color w:val="000000"/>
              </w:rPr>
            </w:pPr>
            <w:r>
              <w:rPr>
                <w:rFonts w:hint="eastAsia"/>
                <w:color w:val="000000"/>
              </w:rPr>
              <w:t>文档共享；</w:t>
            </w:r>
          </w:p>
          <w:p>
            <w:pPr>
              <w:numPr>
                <w:ilvl w:val="0"/>
                <w:numId w:val="4"/>
              </w:numPr>
              <w:spacing w:line="360" w:lineRule="auto"/>
              <w:rPr>
                <w:color w:val="000000"/>
              </w:rPr>
            </w:pPr>
            <w:r>
              <w:rPr>
                <w:rFonts w:hint="eastAsia"/>
                <w:color w:val="000000"/>
              </w:rPr>
              <w:t>各类</w:t>
            </w:r>
            <w:r>
              <w:rPr>
                <w:color w:val="000000"/>
              </w:rPr>
              <w:t>应用</w:t>
            </w:r>
            <w:r>
              <w:rPr>
                <w:rFonts w:hint="eastAsia"/>
                <w:color w:val="000000"/>
              </w:rPr>
              <w:t>窗口共享，</w:t>
            </w:r>
            <w:r>
              <w:rPr>
                <w:color w:val="000000"/>
              </w:rPr>
              <w:t>如果</w:t>
            </w:r>
            <w:r>
              <w:rPr>
                <w:rFonts w:hint="eastAsia"/>
                <w:color w:val="000000"/>
              </w:rPr>
              <w:t>应用</w:t>
            </w:r>
            <w:r>
              <w:rPr>
                <w:color w:val="000000"/>
              </w:rPr>
              <w:t>有音频</w:t>
            </w:r>
            <w:r>
              <w:rPr>
                <w:rFonts w:hint="eastAsia"/>
                <w:color w:val="000000"/>
              </w:rPr>
              <w:t>，系统</w:t>
            </w:r>
            <w:r>
              <w:rPr>
                <w:color w:val="000000"/>
              </w:rPr>
              <w:t>支持把声音共享出去</w:t>
            </w:r>
            <w:r>
              <w:rPr>
                <w:rFonts w:hint="eastAsia"/>
                <w:color w:val="000000"/>
              </w:rPr>
              <w:t>；</w:t>
            </w:r>
          </w:p>
          <w:p>
            <w:pPr>
              <w:numPr>
                <w:ilvl w:val="0"/>
                <w:numId w:val="4"/>
              </w:numPr>
              <w:spacing w:line="360" w:lineRule="auto"/>
              <w:rPr>
                <w:color w:val="000000"/>
              </w:rPr>
            </w:pPr>
            <w:r>
              <w:rPr>
                <w:rFonts w:hint="eastAsia"/>
                <w:color w:val="000000"/>
              </w:rPr>
              <w:t>视频及</w:t>
            </w:r>
            <w:r>
              <w:rPr>
                <w:color w:val="000000"/>
              </w:rPr>
              <w:t>音频</w:t>
            </w:r>
            <w:r>
              <w:rPr>
                <w:rFonts w:hint="eastAsia"/>
                <w:color w:val="000000"/>
              </w:rPr>
              <w:t>共享（包括但</w:t>
            </w:r>
            <w:r>
              <w:rPr>
                <w:color w:val="000000"/>
              </w:rPr>
              <w:t>不限于</w:t>
            </w:r>
            <w:r>
              <w:rPr>
                <w:rFonts w:hint="eastAsia"/>
                <w:color w:val="000000"/>
              </w:rPr>
              <w:t>MP3/MP4/</w:t>
            </w:r>
            <w:r>
              <w:rPr>
                <w:color w:val="000000"/>
              </w:rPr>
              <w:t>flash文件等</w:t>
            </w:r>
            <w:r>
              <w:rPr>
                <w:rFonts w:hint="eastAsia"/>
                <w:color w:val="000000"/>
              </w:rPr>
              <w:t>）；</w:t>
            </w:r>
          </w:p>
          <w:p>
            <w:pPr>
              <w:numPr>
                <w:ilvl w:val="0"/>
                <w:numId w:val="4"/>
              </w:numPr>
              <w:spacing w:line="360" w:lineRule="auto"/>
              <w:rPr>
                <w:color w:val="000000"/>
              </w:rPr>
            </w:pPr>
            <w:r>
              <w:rPr>
                <w:rFonts w:hint="eastAsia"/>
                <w:color w:val="000000"/>
              </w:rPr>
              <w:t>对共享内容进行交互式“注释”。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82" w:type="dxa"/>
            <w:vAlign w:val="center"/>
          </w:tcPr>
          <w:p>
            <w:pPr>
              <w:spacing w:line="360" w:lineRule="auto"/>
              <w:jc w:val="center"/>
              <w:rPr>
                <w:color w:val="000000"/>
              </w:rPr>
            </w:pPr>
            <w:r>
              <w:rPr>
                <w:color w:val="000000"/>
              </w:rPr>
              <w:t>4</w:t>
            </w:r>
          </w:p>
        </w:tc>
        <w:tc>
          <w:tcPr>
            <w:tcW w:w="1500" w:type="dxa"/>
            <w:vAlign w:val="center"/>
          </w:tcPr>
          <w:p>
            <w:pPr>
              <w:spacing w:line="360" w:lineRule="auto"/>
              <w:jc w:val="center"/>
              <w:rPr>
                <w:color w:val="000000"/>
              </w:rPr>
            </w:pPr>
            <w:r>
              <w:rPr>
                <w:rFonts w:hint="eastAsia"/>
                <w:color w:val="000000"/>
              </w:rPr>
              <w:t>白板软件</w:t>
            </w:r>
          </w:p>
        </w:tc>
        <w:tc>
          <w:tcPr>
            <w:tcW w:w="6487" w:type="dxa"/>
            <w:shd w:val="clear" w:color="auto" w:fill="auto"/>
            <w:vAlign w:val="center"/>
          </w:tcPr>
          <w:p>
            <w:pPr>
              <w:numPr>
                <w:ilvl w:val="0"/>
                <w:numId w:val="5"/>
              </w:numPr>
              <w:shd w:val="clear" w:color="auto" w:fill="FFFFFF"/>
              <w:spacing w:line="360" w:lineRule="auto"/>
              <w:rPr>
                <w:color w:val="000000"/>
              </w:rPr>
            </w:pPr>
            <w:r>
              <w:rPr>
                <w:rFonts w:hint="eastAsia"/>
                <w:color w:val="000000"/>
              </w:rPr>
              <w:t>主工具条简单实用，只显示老师最常用的画笔、板擦、漫游、撤销、翻页和新建页；</w:t>
            </w:r>
          </w:p>
          <w:p>
            <w:pPr>
              <w:numPr>
                <w:ilvl w:val="0"/>
                <w:numId w:val="5"/>
              </w:numPr>
              <w:shd w:val="clear" w:color="auto" w:fill="FFFFFF"/>
              <w:spacing w:line="360" w:lineRule="auto"/>
              <w:rPr>
                <w:color w:val="000000"/>
              </w:rPr>
            </w:pPr>
            <w:r>
              <w:rPr>
                <w:rFonts w:hint="eastAsia"/>
                <w:color w:val="000000"/>
              </w:rPr>
              <w:t>集成电子书包、智能反馈器、互动书写笔、移动授课助手等多种智慧课堂互动软件，需要时可通过白板一键调起，并且账号同步登录；</w:t>
            </w:r>
          </w:p>
          <w:p>
            <w:pPr>
              <w:numPr>
                <w:ilvl w:val="0"/>
                <w:numId w:val="5"/>
              </w:numPr>
              <w:shd w:val="clear" w:color="auto" w:fill="FFFFFF"/>
              <w:spacing w:line="360" w:lineRule="auto"/>
              <w:rPr>
                <w:color w:val="000000"/>
              </w:rPr>
            </w:pPr>
            <w:r>
              <w:rPr>
                <w:rFonts w:hint="eastAsia"/>
                <w:color w:val="000000"/>
              </w:rPr>
              <w:t>支持多人同时书写和插除，互不影响，不论是笔迹、图片、图形都可以实现任意部分的擦除；</w:t>
            </w:r>
          </w:p>
          <w:p>
            <w:pPr>
              <w:numPr>
                <w:ilvl w:val="0"/>
                <w:numId w:val="5"/>
              </w:numPr>
              <w:shd w:val="clear" w:color="auto" w:fill="FFFFFF"/>
              <w:spacing w:line="360" w:lineRule="auto"/>
              <w:rPr>
                <w:color w:val="000000"/>
              </w:rPr>
            </w:pPr>
            <w:r>
              <w:rPr>
                <w:rFonts w:hint="eastAsia"/>
                <w:color w:val="000000"/>
              </w:rPr>
              <w:t>支持边写边擦，擦除过程中擦除面积随手的接触面积大小改变而随时改变；</w:t>
            </w:r>
          </w:p>
          <w:p>
            <w:pPr>
              <w:numPr>
                <w:ilvl w:val="0"/>
                <w:numId w:val="5"/>
              </w:numPr>
              <w:shd w:val="clear" w:color="auto" w:fill="FFFFFF"/>
              <w:spacing w:line="360" w:lineRule="auto"/>
              <w:rPr>
                <w:color w:val="000000"/>
              </w:rPr>
            </w:pPr>
            <w:r>
              <w:rPr>
                <w:rFonts w:hint="eastAsia"/>
                <w:color w:val="000000"/>
              </w:rPr>
              <w:t>桌面模式下可以使用白板的所有工具，桌面模式下支持工具条最小化成一个按钮；</w:t>
            </w:r>
          </w:p>
          <w:p>
            <w:pPr>
              <w:numPr>
                <w:ilvl w:val="0"/>
                <w:numId w:val="5"/>
              </w:numPr>
              <w:shd w:val="clear" w:color="auto" w:fill="FFFFFF"/>
              <w:spacing w:line="360" w:lineRule="auto"/>
              <w:rPr>
                <w:color w:val="000000"/>
              </w:rPr>
            </w:pPr>
            <w:r>
              <w:rPr>
                <w:rFonts w:hint="eastAsia"/>
                <w:color w:val="000000"/>
              </w:rPr>
              <w:t>支持将白板外的任意文件截图发送到白板讲解和批注；</w:t>
            </w:r>
          </w:p>
          <w:p>
            <w:pPr>
              <w:numPr>
                <w:ilvl w:val="0"/>
                <w:numId w:val="5"/>
              </w:numPr>
              <w:shd w:val="clear" w:color="auto" w:fill="FFFFFF"/>
              <w:spacing w:line="360" w:lineRule="auto"/>
              <w:rPr>
                <w:color w:val="000000"/>
              </w:rPr>
            </w:pPr>
            <w:r>
              <w:rPr>
                <w:rFonts w:hint="eastAsia"/>
                <w:color w:val="000000"/>
              </w:rPr>
              <w:t>支持全屏中英文、数字的混合智能识别，识别的结果可以手势删除部分文字，如中国China人口数14亿。识别的文字支持修改字体和字号；</w:t>
            </w:r>
          </w:p>
          <w:p>
            <w:pPr>
              <w:numPr>
                <w:ilvl w:val="0"/>
                <w:numId w:val="5"/>
              </w:numPr>
              <w:shd w:val="clear" w:color="auto" w:fill="FFFFFF"/>
              <w:spacing w:line="360" w:lineRule="auto"/>
              <w:rPr>
                <w:color w:val="000000"/>
              </w:rPr>
            </w:pPr>
            <w:r>
              <w:rPr>
                <w:rFonts w:hint="eastAsia"/>
                <w:color w:val="000000"/>
              </w:rPr>
              <w:t>资源访问需支持多种渠道，支持从本地素材库一键拖拽资源到白板中；也可以从我的电脑中添加本地资源到白板中；同时可以点击云资源直接跳转到云端，云端资源既能按年级、学科、版本、章节同步筛选，也能按知识点分类筛选；</w:t>
            </w:r>
          </w:p>
          <w:p>
            <w:pPr>
              <w:numPr>
                <w:ilvl w:val="0"/>
                <w:numId w:val="5"/>
              </w:numPr>
              <w:shd w:val="clear" w:color="auto" w:fill="FFFFFF"/>
              <w:spacing w:line="360" w:lineRule="auto"/>
              <w:rPr>
                <w:color w:val="000000"/>
              </w:rPr>
            </w:pPr>
            <w:r>
              <w:rPr>
                <w:rFonts w:hint="eastAsia"/>
                <w:color w:val="000000"/>
              </w:rPr>
              <w:t>支持公式和图形的智能识别，公式识别：如δ(x)=a2+b2等，图形识别：包括任何规则和不规则图形，如三角形、五角星等；</w:t>
            </w:r>
          </w:p>
          <w:p>
            <w:pPr>
              <w:numPr>
                <w:ilvl w:val="0"/>
                <w:numId w:val="5"/>
              </w:numPr>
              <w:shd w:val="clear" w:color="auto" w:fill="FFFFFF"/>
              <w:spacing w:line="360" w:lineRule="auto"/>
              <w:rPr>
                <w:color w:val="000000"/>
              </w:rPr>
            </w:pPr>
            <w:r>
              <w:rPr>
                <w:rFonts w:hint="eastAsia"/>
                <w:color w:val="000000"/>
              </w:rPr>
              <w:t>支持备授课两种模式，备课模式下老师可根据教学需求对页面中任意的对象进行交互动画设置，如渐变、擦除、百叶窗等特效，还能设置动画进入或退出的速度和方式；</w:t>
            </w:r>
          </w:p>
          <w:p>
            <w:pPr>
              <w:numPr>
                <w:ilvl w:val="0"/>
                <w:numId w:val="5"/>
              </w:numPr>
              <w:shd w:val="clear" w:color="auto" w:fill="FFFFFF"/>
              <w:spacing w:line="360" w:lineRule="auto"/>
              <w:rPr>
                <w:color w:val="000000"/>
              </w:rPr>
            </w:pPr>
            <w:r>
              <w:rPr>
                <w:rFonts w:hint="eastAsia"/>
                <w:color w:val="000000"/>
              </w:rPr>
              <w:t>书写笔包括硬笔（普通笔）、荧光笔、印章笔、纹理笔、毛笔、钢笔、排刷、激光笔、文本输入等多种笔型，同时印章笔和纹理笔不仅内置部分图案，老师还可以自己添加喜欢的图案；切换笔形后，图标显示为当前笔形及笔的颜色和粗细；</w:t>
            </w:r>
          </w:p>
          <w:p>
            <w:pPr>
              <w:numPr>
                <w:ilvl w:val="0"/>
                <w:numId w:val="5"/>
              </w:numPr>
              <w:shd w:val="clear" w:color="auto" w:fill="FFFFFF"/>
              <w:spacing w:line="360" w:lineRule="auto"/>
              <w:rPr>
                <w:color w:val="000000"/>
              </w:rPr>
            </w:pPr>
            <w:r>
              <w:rPr>
                <w:rFonts w:hint="eastAsia"/>
                <w:color w:val="000000"/>
              </w:rPr>
              <w:t>板擦包括任意擦除、区域擦除、对象擦除以及全屏擦除。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669" w:type="dxa"/>
            <w:gridSpan w:val="3"/>
            <w:vAlign w:val="center"/>
          </w:tcPr>
          <w:p>
            <w:pPr>
              <w:shd w:val="clear" w:color="auto" w:fill="FFFFFF"/>
              <w:spacing w:line="360" w:lineRule="auto"/>
              <w:rPr>
                <w:color w:val="000000"/>
              </w:rPr>
            </w:pPr>
            <w:r>
              <w:rPr>
                <w:rFonts w:hint="eastAsia"/>
                <w:color w:val="000000"/>
              </w:rPr>
              <w:t>（三）硬件设备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82" w:type="dxa"/>
            <w:vAlign w:val="center"/>
          </w:tcPr>
          <w:p>
            <w:pPr>
              <w:spacing w:line="360" w:lineRule="auto"/>
              <w:jc w:val="center"/>
              <w:rPr>
                <w:color w:val="000000"/>
              </w:rPr>
            </w:pPr>
            <w:r>
              <w:rPr>
                <w:color w:val="000000" w:themeColor="text1"/>
                <w14:textFill>
                  <w14:solidFill>
                    <w14:schemeClr w14:val="tx1"/>
                  </w14:solidFill>
                </w14:textFill>
              </w:rPr>
              <w:t>5</w:t>
            </w:r>
          </w:p>
        </w:tc>
        <w:tc>
          <w:tcPr>
            <w:tcW w:w="1500" w:type="dxa"/>
            <w:vAlign w:val="center"/>
          </w:tcPr>
          <w:p>
            <w:pPr>
              <w:spacing w:line="360" w:lineRule="auto"/>
              <w:jc w:val="center"/>
              <w:rPr>
                <w:color w:val="000000"/>
              </w:rPr>
            </w:pPr>
            <w:r>
              <w:rPr>
                <w:color w:val="000000"/>
              </w:rPr>
              <w:t>音响</w:t>
            </w:r>
          </w:p>
        </w:tc>
        <w:tc>
          <w:tcPr>
            <w:tcW w:w="6487" w:type="dxa"/>
            <w:shd w:val="clear" w:color="auto" w:fill="auto"/>
            <w:vAlign w:val="center"/>
          </w:tcPr>
          <w:p>
            <w:pPr>
              <w:shd w:val="clear" w:color="auto" w:fill="FFFFFF"/>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1、额定功率</w:t>
            </w:r>
            <w:r>
              <w:rPr>
                <w:rFonts w:hint="eastAsia"/>
                <w:color w:val="000000"/>
              </w:rPr>
              <w:t>≥</w:t>
            </w:r>
            <w:r>
              <w:rPr>
                <w:color w:val="000000" w:themeColor="text1"/>
                <w14:textFill>
                  <w14:solidFill>
                    <w14:schemeClr w14:val="tx1"/>
                  </w14:solidFill>
                </w14:textFill>
              </w:rPr>
              <w:t>30W</w:t>
            </w:r>
          </w:p>
          <w:p>
            <w:pPr>
              <w:shd w:val="clear" w:color="auto" w:fill="FFFFFF"/>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2、最大功率 </w:t>
            </w:r>
            <w:r>
              <w:rPr>
                <w:color w:val="000000" w:themeColor="text1"/>
                <w14:textFill>
                  <w14:solidFill>
                    <w14:schemeClr w14:val="tx1"/>
                  </w14:solidFill>
                </w14:textFill>
              </w:rPr>
              <w:t>60W</w:t>
            </w:r>
          </w:p>
          <w:p>
            <w:pPr>
              <w:shd w:val="clear" w:color="auto" w:fill="FFFFFF"/>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3、灵敏度</w:t>
            </w:r>
            <w:r>
              <w:rPr>
                <w:rFonts w:hint="eastAsia"/>
                <w:color w:val="000000"/>
              </w:rPr>
              <w:t>≥</w:t>
            </w:r>
            <w:r>
              <w:rPr>
                <w:color w:val="000000" w:themeColor="text1"/>
                <w14:textFill>
                  <w14:solidFill>
                    <w14:schemeClr w14:val="tx1"/>
                  </w14:solidFill>
                </w14:textFill>
              </w:rPr>
              <w:t>88</w:t>
            </w:r>
            <w:r>
              <w:rPr>
                <w:rFonts w:hint="eastAsia"/>
                <w:color w:val="000000" w:themeColor="text1"/>
                <w14:textFill>
                  <w14:solidFill>
                    <w14:schemeClr w14:val="tx1"/>
                  </w14:solidFill>
                </w14:textFill>
              </w:rPr>
              <w:t>d</w:t>
            </w:r>
            <w:r>
              <w:rPr>
                <w:color w:val="000000" w:themeColor="text1"/>
                <w14:textFill>
                  <w14:solidFill>
                    <w14:schemeClr w14:val="tx1"/>
                  </w14:solidFill>
                </w14:textFill>
              </w:rPr>
              <w:t>B</w:t>
            </w:r>
          </w:p>
          <w:p>
            <w:pPr>
              <w:shd w:val="clear" w:color="auto" w:fill="FFFFFF"/>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4、频响范围：</w:t>
            </w:r>
            <w:r>
              <w:rPr>
                <w:color w:val="000000" w:themeColor="text1"/>
                <w14:textFill>
                  <w14:solidFill>
                    <w14:schemeClr w14:val="tx1"/>
                  </w14:solidFill>
                </w14:textFill>
              </w:rPr>
              <w:t>70H</w:t>
            </w:r>
            <w:r>
              <w:rPr>
                <w:rFonts w:hint="eastAsia"/>
                <w:color w:val="000000" w:themeColor="text1"/>
                <w14:textFill>
                  <w14:solidFill>
                    <w14:schemeClr w14:val="tx1"/>
                  </w14:solidFill>
                </w14:textFill>
              </w:rPr>
              <w:t>z</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k</w:t>
            </w:r>
            <w:r>
              <w:rPr>
                <w:color w:val="000000" w:themeColor="text1"/>
                <w14:textFill>
                  <w14:solidFill>
                    <w14:schemeClr w14:val="tx1"/>
                  </w14:solidFill>
                </w14:textFill>
              </w:rPr>
              <w:t>H</w:t>
            </w:r>
            <w:r>
              <w:rPr>
                <w:rFonts w:hint="eastAsia"/>
                <w:color w:val="000000" w:themeColor="text1"/>
                <w14:textFill>
                  <w14:solidFill>
                    <w14:schemeClr w14:val="tx1"/>
                  </w14:solidFill>
                </w14:textFill>
              </w:rPr>
              <w:t>z</w:t>
            </w:r>
          </w:p>
          <w:p>
            <w:pPr>
              <w:shd w:val="clear" w:color="auto" w:fill="FFFFFF"/>
              <w:spacing w:line="360" w:lineRule="auto"/>
              <w:rPr>
                <w:color w:val="000000"/>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、谐振频率：6</w:t>
            </w:r>
            <w:r>
              <w:rPr>
                <w:color w:val="000000" w:themeColor="text1"/>
                <w14:textFill>
                  <w14:solidFill>
                    <w14:schemeClr w14:val="tx1"/>
                  </w14:solidFill>
                </w14:textFill>
              </w:rPr>
              <w:t>5H</w:t>
            </w:r>
            <w:r>
              <w:rPr>
                <w:rFonts w:hint="eastAsia"/>
                <w:color w:val="000000" w:themeColor="text1"/>
                <w14:textFill>
                  <w14:solidFill>
                    <w14:schemeClr w14:val="tx1"/>
                  </w14:solidFill>
                </w14:textFill>
              </w:rP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82" w:type="dxa"/>
            <w:vAlign w:val="center"/>
          </w:tcPr>
          <w:p>
            <w:pPr>
              <w:spacing w:line="360" w:lineRule="auto"/>
              <w:jc w:val="center"/>
              <w:rPr>
                <w:color w:val="000000"/>
              </w:rPr>
            </w:pPr>
            <w:r>
              <w:rPr>
                <w:color w:val="000000" w:themeColor="text1"/>
                <w14:textFill>
                  <w14:solidFill>
                    <w14:schemeClr w14:val="tx1"/>
                  </w14:solidFill>
                </w14:textFill>
              </w:rPr>
              <w:t>6</w:t>
            </w:r>
          </w:p>
        </w:tc>
        <w:tc>
          <w:tcPr>
            <w:tcW w:w="1500" w:type="dxa"/>
            <w:vAlign w:val="center"/>
          </w:tcPr>
          <w:p>
            <w:pPr>
              <w:spacing w:line="360" w:lineRule="auto"/>
              <w:jc w:val="center"/>
              <w:rPr>
                <w:color w:val="000000"/>
              </w:rPr>
            </w:pPr>
            <w:r>
              <w:rPr>
                <w:color w:val="000000"/>
              </w:rPr>
              <w:t>功放</w:t>
            </w:r>
          </w:p>
        </w:tc>
        <w:tc>
          <w:tcPr>
            <w:tcW w:w="6487" w:type="dxa"/>
            <w:shd w:val="clear" w:color="auto" w:fill="auto"/>
            <w:vAlign w:val="center"/>
          </w:tcPr>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1、增益限制的频率范围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音乐 20Hz-3</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kHz/100Hz-30kHz (+1/-3dB)</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2、总谐波失真:音乐 &lt;0.1   </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、输出功率: ≥1</w:t>
            </w:r>
            <w:r>
              <w:rPr>
                <w:color w:val="000000" w:themeColor="text1"/>
                <w14:textFill>
                  <w14:solidFill>
                    <w14:schemeClr w14:val="tx1"/>
                  </w14:solidFill>
                </w14:textFill>
              </w:rPr>
              <w:t>20W(4</w:t>
            </w:r>
            <w:r>
              <w:rPr>
                <w:rFonts w:hint="eastAsia"/>
                <w:color w:val="000000" w:themeColor="text1"/>
                <w14:textFill>
                  <w14:solidFill>
                    <w14:schemeClr w14:val="tx1"/>
                  </w14:solidFill>
                </w14:textFill>
              </w:rPr>
              <w:t>Ω</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4、信噪比：音乐 ≥8</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dB（A计权）</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、最小源电动势：音乐&lt;</w:t>
            </w:r>
            <w:r>
              <w:rPr>
                <w:color w:val="000000" w:themeColor="text1"/>
                <w14:textFill>
                  <w14:solidFill>
                    <w14:schemeClr w14:val="tx1"/>
                  </w14:solidFill>
                </w14:textFill>
              </w:rPr>
              <w:t>800</w:t>
            </w:r>
            <w:r>
              <w:rPr>
                <w:rFonts w:hint="eastAsia"/>
                <w:color w:val="000000" w:themeColor="text1"/>
                <w14:textFill>
                  <w14:solidFill>
                    <w14:schemeClr w14:val="tx1"/>
                  </w14:solidFill>
                </w14:textFill>
              </w:rPr>
              <w:t>m</w:t>
            </w:r>
            <w:r>
              <w:rPr>
                <w:color w:val="000000" w:themeColor="text1"/>
                <w14:textFill>
                  <w14:solidFill>
                    <w14:schemeClr w14:val="tx1"/>
                  </w14:solidFill>
                </w14:textFill>
              </w:rPr>
              <w:t>V</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、分离度：&gt;70dB</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7、整机增益：音乐</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≥32dB</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8、整机功耗：&lt;</w:t>
            </w:r>
            <w:r>
              <w:rPr>
                <w:color w:val="000000" w:themeColor="text1"/>
                <w14:textFill>
                  <w14:solidFill>
                    <w14:schemeClr w14:val="tx1"/>
                  </w14:solidFill>
                </w14:textFill>
              </w:rPr>
              <w:t>500W</w:t>
            </w:r>
          </w:p>
          <w:p>
            <w:pPr>
              <w:shd w:val="clear" w:color="auto" w:fill="FFFFFF"/>
              <w:spacing w:line="360" w:lineRule="auto"/>
              <w:rPr>
                <w:color w:val="000000"/>
              </w:rPr>
            </w:pPr>
            <w:r>
              <w:rPr>
                <w:rFonts w:hint="eastAsia"/>
                <w:color w:val="000000" w:themeColor="text1"/>
                <w14:textFill>
                  <w14:solidFill>
                    <w14:schemeClr w14:val="tx1"/>
                  </w14:solidFill>
                </w14:textFill>
              </w:rPr>
              <w:t>9、带USB播放功能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82" w:type="dxa"/>
            <w:vAlign w:val="center"/>
          </w:tcPr>
          <w:p>
            <w:pPr>
              <w:spacing w:line="360" w:lineRule="auto"/>
              <w:jc w:val="center"/>
              <w:rPr>
                <w:color w:val="000000"/>
              </w:rPr>
            </w:pPr>
            <w:r>
              <w:rPr>
                <w:color w:val="000000" w:themeColor="text1"/>
                <w14:textFill>
                  <w14:solidFill>
                    <w14:schemeClr w14:val="tx1"/>
                  </w14:solidFill>
                </w14:textFill>
              </w:rPr>
              <w:t>7</w:t>
            </w:r>
          </w:p>
        </w:tc>
        <w:tc>
          <w:tcPr>
            <w:tcW w:w="1500" w:type="dxa"/>
            <w:vAlign w:val="center"/>
          </w:tcPr>
          <w:p>
            <w:pPr>
              <w:spacing w:line="360" w:lineRule="auto"/>
              <w:jc w:val="center"/>
              <w:rPr>
                <w:color w:val="000000"/>
              </w:rPr>
            </w:pPr>
            <w:r>
              <w:rPr>
                <w:color w:val="000000"/>
              </w:rPr>
              <w:t xml:space="preserve">全向麦克 </w:t>
            </w:r>
          </w:p>
        </w:tc>
        <w:tc>
          <w:tcPr>
            <w:tcW w:w="6487" w:type="dxa"/>
            <w:shd w:val="clear" w:color="auto" w:fill="auto"/>
            <w:vAlign w:val="center"/>
          </w:tcPr>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个麦克风输入网络接口，可接入</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路无线麦克和</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路有线麦克; </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路立体声回声抑制参考信号输入，采用</w:t>
            </w:r>
            <w:r>
              <w:rPr>
                <w:color w:val="000000" w:themeColor="text1"/>
                <w14:textFill>
                  <w14:solidFill>
                    <w14:schemeClr w14:val="tx1"/>
                  </w14:solidFill>
                </w14:textFill>
              </w:rPr>
              <w:t>3.5mm</w:t>
            </w:r>
            <w:r>
              <w:rPr>
                <w:rFonts w:hint="eastAsia"/>
                <w:color w:val="000000" w:themeColor="text1"/>
                <w14:textFill>
                  <w14:solidFill>
                    <w14:schemeClr w14:val="tx1"/>
                  </w14:solidFill>
                </w14:textFill>
              </w:rPr>
              <w:t>标准音频接口;</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路立体声线路输出，采用</w:t>
            </w:r>
            <w:r>
              <w:rPr>
                <w:color w:val="000000" w:themeColor="text1"/>
                <w14:textFill>
                  <w14:solidFill>
                    <w14:schemeClr w14:val="tx1"/>
                  </w14:solidFill>
                </w14:textFill>
              </w:rPr>
              <w:t>3.5mm</w:t>
            </w:r>
            <w:r>
              <w:rPr>
                <w:rFonts w:hint="eastAsia"/>
                <w:color w:val="000000" w:themeColor="text1"/>
                <w14:textFill>
                  <w14:solidFill>
                    <w14:schemeClr w14:val="tx1"/>
                  </w14:solidFill>
                </w14:textFill>
              </w:rPr>
              <w:t>标准音频接口;</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、支持全频带全双工自适应回声消除技术; </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、支持全频带动态自适应降噪技术，降噪电平最高支持</w:t>
            </w:r>
            <w:r>
              <w:rPr>
                <w:color w:val="000000" w:themeColor="text1"/>
                <w14:textFill>
                  <w14:solidFill>
                    <w14:schemeClr w14:val="tx1"/>
                  </w14:solidFill>
                </w14:textFill>
              </w:rPr>
              <w:t>18dB</w:t>
            </w:r>
            <w:r>
              <w:rPr>
                <w:rFonts w:hint="eastAsia"/>
                <w:color w:val="000000" w:themeColor="text1"/>
                <w14:textFill>
                  <w14:solidFill>
                    <w14:schemeClr w14:val="tx1"/>
                  </w14:solidFill>
                </w14:textFill>
              </w:rPr>
              <w:t>;</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、支持智能混音和话筒优选技术;</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7、支持采样率</w:t>
            </w:r>
            <w:r>
              <w:rPr>
                <w:color w:val="000000" w:themeColor="text1"/>
                <w14:textFill>
                  <w14:solidFill>
                    <w14:schemeClr w14:val="tx1"/>
                  </w14:solidFill>
                </w14:textFill>
              </w:rPr>
              <w:t>48kHz</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A/D</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D/A</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24-bit</w:t>
            </w:r>
            <w:r>
              <w:rPr>
                <w:rFonts w:hint="eastAsia"/>
                <w:color w:val="000000" w:themeColor="text1"/>
                <w14:textFill>
                  <w14:solidFill>
                    <w14:schemeClr w14:val="tx1"/>
                  </w14:solidFill>
                </w14:textFill>
              </w:rPr>
              <w:t>;</w:t>
            </w:r>
          </w:p>
          <w:p>
            <w:pPr>
              <w:shd w:val="clear" w:color="auto" w:fill="FFFFFF"/>
              <w:spacing w:line="360" w:lineRule="auto"/>
              <w:rPr>
                <w:color w:val="000000"/>
              </w:rPr>
            </w:pPr>
            <w:r>
              <w:rPr>
                <w:rFonts w:hint="eastAsia"/>
                <w:color w:val="000000" w:themeColor="text1"/>
                <w14:textFill>
                  <w14:solidFill>
                    <w14:schemeClr w14:val="tx1"/>
                  </w14:solidFill>
                </w14:textFill>
              </w:rPr>
              <w:t>8、输入输出独立的音量调节旋钮。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82" w:type="dxa"/>
            <w:vAlign w:val="center"/>
          </w:tcPr>
          <w:p>
            <w:pPr>
              <w:spacing w:line="360" w:lineRule="auto"/>
              <w:jc w:val="center"/>
              <w:rPr>
                <w:color w:val="000000"/>
              </w:rPr>
            </w:pPr>
            <w:r>
              <w:rPr>
                <w:color w:val="000000" w:themeColor="text1"/>
                <w14:textFill>
                  <w14:solidFill>
                    <w14:schemeClr w14:val="tx1"/>
                  </w14:solidFill>
                </w14:textFill>
              </w:rPr>
              <w:t>8</w:t>
            </w:r>
          </w:p>
        </w:tc>
        <w:tc>
          <w:tcPr>
            <w:tcW w:w="1500" w:type="dxa"/>
            <w:vAlign w:val="center"/>
          </w:tcPr>
          <w:p>
            <w:pPr>
              <w:spacing w:line="360" w:lineRule="auto"/>
              <w:jc w:val="center"/>
              <w:rPr>
                <w:color w:val="000000"/>
              </w:rPr>
            </w:pPr>
            <w:r>
              <w:rPr>
                <w:color w:val="000000"/>
              </w:rPr>
              <w:t xml:space="preserve">高清摄像头 </w:t>
            </w:r>
          </w:p>
        </w:tc>
        <w:tc>
          <w:tcPr>
            <w:tcW w:w="6487" w:type="dxa"/>
            <w:shd w:val="clear" w:color="auto" w:fill="auto"/>
            <w:vAlign w:val="center"/>
          </w:tcPr>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1、≥219万像素，1/2.9英寸COMS传感器</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2、支持USB接口输入，免采集卡免驱动</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、需支持108度超广视角</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4、宽范围快速云台，水平355度精准定位</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、多功能红外遥控，摄像机所有功能可通过标配遥控器完成</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、支持使用USB线同时传输视频及控制云台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7、支持图像翻转镜像</w:t>
            </w:r>
          </w:p>
          <w:p>
            <w:pPr>
              <w:shd w:val="clear" w:color="auto" w:fill="FFFFFF"/>
              <w:spacing w:line="360" w:lineRule="auto"/>
              <w:rPr>
                <w:color w:val="000000"/>
              </w:rPr>
            </w:pPr>
            <w:r>
              <w:rPr>
                <w:color w:val="000000" w:themeColor="text1"/>
                <w14:textFill>
                  <w14:solidFill>
                    <w14:schemeClr w14:val="tx1"/>
                  </w14:solidFill>
                </w14:textFill>
              </w:rPr>
              <w:t>8</w:t>
            </w:r>
            <w:r>
              <w:rPr>
                <w:rFonts w:hint="eastAsia"/>
                <w:color w:val="000000" w:themeColor="text1"/>
                <w14:textFill>
                  <w14:solidFill>
                    <w14:schemeClr w14:val="tx1"/>
                  </w14:solidFill>
                </w14:textFill>
              </w:rPr>
              <w:t>、支持通过USB接口自主升级程序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82" w:type="dxa"/>
            <w:vAlign w:val="center"/>
          </w:tcPr>
          <w:p>
            <w:pPr>
              <w:spacing w:line="360" w:lineRule="auto"/>
              <w:jc w:val="center"/>
              <w:rPr>
                <w:color w:val="000000"/>
              </w:rPr>
            </w:pPr>
            <w:r>
              <w:rPr>
                <w:color w:val="000000" w:themeColor="text1"/>
                <w14:textFill>
                  <w14:solidFill>
                    <w14:schemeClr w14:val="tx1"/>
                  </w14:solidFill>
                </w14:textFill>
              </w:rPr>
              <w:t>9</w:t>
            </w:r>
          </w:p>
        </w:tc>
        <w:tc>
          <w:tcPr>
            <w:tcW w:w="1500" w:type="dxa"/>
            <w:vAlign w:val="center"/>
          </w:tcPr>
          <w:p>
            <w:pPr>
              <w:spacing w:line="360" w:lineRule="auto"/>
              <w:jc w:val="center"/>
              <w:rPr>
                <w:color w:val="000000"/>
              </w:rPr>
            </w:pPr>
            <w:r>
              <w:rPr>
                <w:color w:val="000000"/>
              </w:rPr>
              <w:t>安装辅材</w:t>
            </w:r>
          </w:p>
        </w:tc>
        <w:tc>
          <w:tcPr>
            <w:tcW w:w="6487" w:type="dxa"/>
            <w:shd w:val="clear" w:color="auto" w:fill="auto"/>
            <w:vAlign w:val="center"/>
          </w:tcPr>
          <w:p>
            <w:pPr>
              <w:shd w:val="clear" w:color="auto" w:fill="FFFFFF"/>
              <w:spacing w:line="360" w:lineRule="auto"/>
              <w:rPr>
                <w:color w:val="000000"/>
              </w:rPr>
            </w:pPr>
            <w:r>
              <w:rPr>
                <w:rFonts w:hint="eastAsia"/>
                <w:color w:val="000000" w:themeColor="text1"/>
                <w14:textFill>
                  <w14:solidFill>
                    <w14:schemeClr w14:val="tx1"/>
                  </w14:solidFill>
                </w14:textFill>
              </w:rPr>
              <w:t>提供音箱线100芯50条，3.5-3.5 1.5M 1条，3.5-2RCA 1.5M 1条，usb转3.5  1个，usb延长线 1条，六类网线纯铜芯20M 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669" w:type="dxa"/>
            <w:gridSpan w:val="3"/>
            <w:vAlign w:val="center"/>
          </w:tcPr>
          <w:p>
            <w:pPr>
              <w:shd w:val="clear" w:color="auto" w:fill="FFFFFF"/>
              <w:spacing w:line="360" w:lineRule="auto"/>
              <w:rPr>
                <w:color w:val="000000"/>
              </w:rPr>
            </w:pPr>
            <w:r>
              <w:rPr>
                <w:rFonts w:hint="eastAsia"/>
                <w:color w:val="000000"/>
              </w:rPr>
              <w:t>（四）项目管理与服务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color="auto" w:fill="FFFFFF"/>
              <w:spacing w:line="360" w:lineRule="auto"/>
              <w:jc w:val="center"/>
              <w:rPr>
                <w:color w:val="000000"/>
              </w:rPr>
            </w:pPr>
            <w:r>
              <w:rPr>
                <w:color w:val="000000"/>
              </w:rPr>
              <w:t>10</w:t>
            </w:r>
          </w:p>
        </w:tc>
        <w:tc>
          <w:tcPr>
            <w:tcW w:w="1500"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color="auto" w:fill="FFFFFF"/>
              <w:spacing w:line="360" w:lineRule="auto"/>
              <w:rPr>
                <w:color w:val="000000"/>
              </w:rPr>
            </w:pPr>
            <w:r>
              <w:rPr>
                <w:rFonts w:hint="eastAsia"/>
                <w:color w:val="000000"/>
              </w:rPr>
              <w:t>项目管理服务</w:t>
            </w:r>
          </w:p>
        </w:tc>
        <w:tc>
          <w:tcPr>
            <w:tcW w:w="6487" w:type="dxa"/>
            <w:tcBorders>
              <w:top w:val="single" w:color="auto" w:sz="4" w:space="0"/>
              <w:left w:val="single" w:color="auto" w:sz="4" w:space="0"/>
              <w:bottom w:val="single" w:color="auto" w:sz="4" w:space="0"/>
              <w:right w:val="single" w:color="auto" w:sz="4" w:space="0"/>
            </w:tcBorders>
            <w:shd w:val="clear" w:color="000000" w:fill="FFFFFF"/>
            <w:vAlign w:val="center"/>
          </w:tcPr>
          <w:p>
            <w:pPr>
              <w:numPr>
                <w:ilvl w:val="3"/>
                <w:numId w:val="6"/>
              </w:numPr>
              <w:shd w:val="clear" w:color="auto" w:fill="FFFFFF"/>
              <w:spacing w:line="360" w:lineRule="auto"/>
              <w:rPr>
                <w:color w:val="000000"/>
              </w:rPr>
            </w:pPr>
            <w:r>
              <w:rPr>
                <w:color w:val="000000"/>
              </w:rPr>
              <w:t>投标人</w:t>
            </w:r>
            <w:r>
              <w:rPr>
                <w:rFonts w:hint="eastAsia"/>
                <w:color w:val="000000"/>
              </w:rPr>
              <w:t>应提项目协调：协调投入到该项目的各类资源，包括材料资源、经费资源、人员资源。</w:t>
            </w:r>
          </w:p>
          <w:p>
            <w:pPr>
              <w:numPr>
                <w:ilvl w:val="3"/>
                <w:numId w:val="6"/>
              </w:numPr>
              <w:shd w:val="clear" w:color="auto" w:fill="FFFFFF"/>
              <w:spacing w:line="360" w:lineRule="auto"/>
              <w:rPr>
                <w:color w:val="000000"/>
              </w:rPr>
            </w:pPr>
            <w:r>
              <w:rPr>
                <w:rFonts w:hint="eastAsia"/>
                <w:color w:val="000000"/>
              </w:rPr>
              <w:t>供应方应提供项目阶段汇报：阶段性与校方领导班子做例会汇报、汇报阶段性项目推进成绩及需要解决的问题。</w:t>
            </w:r>
          </w:p>
          <w:p>
            <w:pPr>
              <w:numPr>
                <w:ilvl w:val="3"/>
                <w:numId w:val="6"/>
              </w:numPr>
              <w:shd w:val="clear" w:color="auto" w:fill="FFFFFF"/>
              <w:spacing w:line="360" w:lineRule="auto"/>
              <w:rPr>
                <w:color w:val="000000"/>
              </w:rPr>
            </w:pPr>
            <w:r>
              <w:rPr>
                <w:rFonts w:hint="eastAsia"/>
                <w:color w:val="000000"/>
              </w:rPr>
              <w:t>需提供项目进度管理：负责实施整个项目各种部署方案以及进度计划、月、周工作安排编制和落实。</w:t>
            </w:r>
          </w:p>
          <w:p>
            <w:pPr>
              <w:numPr>
                <w:ilvl w:val="3"/>
                <w:numId w:val="6"/>
              </w:numPr>
              <w:shd w:val="clear" w:color="auto" w:fill="FFFFFF"/>
              <w:spacing w:line="360" w:lineRule="auto"/>
              <w:rPr>
                <w:color w:val="000000"/>
              </w:rPr>
            </w:pPr>
            <w:r>
              <w:rPr>
                <w:rFonts w:hint="eastAsia"/>
                <w:color w:val="000000"/>
              </w:rPr>
              <w:t>需提供项目推进：主导和监控整个项目的推进进度，处理项目过程中出现的各类问题。</w:t>
            </w:r>
          </w:p>
          <w:p>
            <w:pPr>
              <w:numPr>
                <w:ilvl w:val="3"/>
                <w:numId w:val="6"/>
              </w:numPr>
              <w:shd w:val="clear" w:color="auto" w:fill="FFFFFF"/>
              <w:spacing w:line="360" w:lineRule="auto"/>
              <w:rPr>
                <w:color w:val="000000"/>
              </w:rPr>
            </w:pPr>
            <w:r>
              <w:rPr>
                <w:rFonts w:hint="eastAsia"/>
                <w:color w:val="000000"/>
              </w:rPr>
              <w:t>验收项目：负责项目的阶段性验收和总体的验收。</w:t>
            </w:r>
          </w:p>
        </w:tc>
      </w:tr>
    </w:tbl>
    <w:p>
      <w:pPr>
        <w:spacing w:line="360" w:lineRule="auto"/>
        <w:rPr>
          <w:szCs w:val="22"/>
        </w:rPr>
      </w:pPr>
    </w:p>
    <w:p>
      <w:pPr>
        <w:spacing w:line="360" w:lineRule="auto"/>
        <w:rPr>
          <w:rStyle w:val="20"/>
          <w:rFonts w:ascii="宋体" w:hAnsi="宋体" w:eastAsia="宋体" w:cstheme="minorBidi"/>
          <w:sz w:val="30"/>
          <w:szCs w:val="48"/>
        </w:rPr>
      </w:pPr>
      <w:r>
        <w:rPr>
          <w:rStyle w:val="20"/>
          <w:rFonts w:hint="eastAsia" w:ascii="宋体" w:hAnsi="宋体" w:cstheme="minorBidi"/>
          <w:sz w:val="30"/>
          <w:szCs w:val="48"/>
        </w:rPr>
        <w:t>三</w:t>
      </w:r>
      <w:r>
        <w:rPr>
          <w:rStyle w:val="20"/>
          <w:rFonts w:ascii="宋体" w:hAnsi="宋体" w:cstheme="minorBidi"/>
          <w:sz w:val="30"/>
          <w:szCs w:val="48"/>
        </w:rPr>
        <w:t>、</w:t>
      </w:r>
      <w:r>
        <w:rPr>
          <w:rStyle w:val="20"/>
          <w:rFonts w:hint="eastAsia" w:ascii="宋体" w:hAnsi="宋体" w:cstheme="minorBidi"/>
          <w:sz w:val="30"/>
          <w:szCs w:val="48"/>
        </w:rPr>
        <w:t>评分方法</w:t>
      </w:r>
    </w:p>
    <w:p>
      <w:pPr>
        <w:spacing w:line="360" w:lineRule="auto"/>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评分办法：采用综合评分法，满分为</w:t>
      </w:r>
      <w:r>
        <w:rPr>
          <w:b/>
          <w:bCs/>
          <w:color w:val="000000" w:themeColor="text1"/>
          <w:sz w:val="32"/>
          <w:szCs w:val="32"/>
          <w14:textFill>
            <w14:solidFill>
              <w14:schemeClr w14:val="tx1"/>
            </w14:solidFill>
          </w14:textFill>
        </w:rPr>
        <w:t>100</w:t>
      </w:r>
      <w:r>
        <w:rPr>
          <w:rFonts w:hint="eastAsia"/>
          <w:b/>
          <w:bCs/>
          <w:color w:val="000000" w:themeColor="text1"/>
          <w:sz w:val="32"/>
          <w:szCs w:val="32"/>
          <w14:textFill>
            <w14:solidFill>
              <w14:schemeClr w14:val="tx1"/>
            </w14:solidFill>
          </w14:textFill>
        </w:rPr>
        <w:t>分，其中：价格分总分：3</w:t>
      </w:r>
      <w:r>
        <w:rPr>
          <w:b/>
          <w:bCs/>
          <w:color w:val="000000" w:themeColor="text1"/>
          <w:sz w:val="32"/>
          <w:szCs w:val="32"/>
          <w14:textFill>
            <w14:solidFill>
              <w14:schemeClr w14:val="tx1"/>
            </w14:solidFill>
          </w14:textFill>
        </w:rPr>
        <w:t>0</w:t>
      </w:r>
      <w:r>
        <w:rPr>
          <w:rFonts w:hint="eastAsia"/>
          <w:b/>
          <w:bCs/>
          <w:color w:val="000000" w:themeColor="text1"/>
          <w:sz w:val="32"/>
          <w:szCs w:val="32"/>
          <w14:textFill>
            <w14:solidFill>
              <w14:schemeClr w14:val="tx1"/>
            </w14:solidFill>
          </w14:textFill>
        </w:rPr>
        <w:t>分；商务分总分：20分；技术分总分：50分。</w:t>
      </w:r>
    </w:p>
    <w:tbl>
      <w:tblPr>
        <w:tblStyle w:val="16"/>
        <w:tblpPr w:leftFromText="180" w:rightFromText="180" w:vertAnchor="text" w:tblpXSpec="center" w:tblpY="1"/>
        <w:tblOverlap w:val="never"/>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0"/>
        <w:gridCol w:w="993"/>
        <w:gridCol w:w="850"/>
        <w:gridCol w:w="709"/>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12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评分因素</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127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价格得分：（30分）</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在价格评分时，满足招标文件要求且评标价最低的为评标基准价，其价格分为满分。其他供应商的价格分统一按照下列公式计算：</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评标价得分=(评标基准价／评标价)×30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26" w:type="dxa"/>
            <w:vMerge w:val="restart"/>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1270" w:type="dxa"/>
            <w:vMerge w:val="restart"/>
            <w:tcBorders>
              <w:left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商务资质：（20分）</w:t>
            </w:r>
          </w:p>
        </w:tc>
        <w:tc>
          <w:tcPr>
            <w:tcW w:w="1843" w:type="dxa"/>
            <w:gridSpan w:val="2"/>
            <w:tcBorders>
              <w:top w:val="single" w:color="auto" w:sz="4" w:space="0"/>
              <w:left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类似业绩</w:t>
            </w:r>
          </w:p>
        </w:tc>
        <w:tc>
          <w:tcPr>
            <w:tcW w:w="709" w:type="dxa"/>
            <w:tcBorders>
              <w:top w:val="single" w:color="auto" w:sz="4" w:space="0"/>
              <w:left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分</w:t>
            </w:r>
          </w:p>
        </w:tc>
        <w:tc>
          <w:tcPr>
            <w:tcW w:w="4696" w:type="dxa"/>
            <w:tcBorders>
              <w:top w:val="single" w:color="auto" w:sz="4" w:space="0"/>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r>
              <w:rPr>
                <w:b/>
                <w:bCs/>
                <w:color w:val="FF0000"/>
                <w:szCs w:val="21"/>
              </w:rPr>
              <w:t>投标人</w:t>
            </w:r>
            <w:r>
              <w:rPr>
                <w:rFonts w:hint="eastAsia"/>
                <w:b/>
                <w:bCs/>
                <w:color w:val="FF0000"/>
                <w:szCs w:val="21"/>
              </w:rPr>
              <w:t>或</w:t>
            </w:r>
            <w:r>
              <w:rPr>
                <w:b/>
                <w:bCs/>
                <w:color w:val="FF0000"/>
                <w:szCs w:val="21"/>
              </w:rPr>
              <w:t>双师教学服务提供商</w:t>
            </w:r>
            <w:r>
              <w:rPr>
                <w:color w:val="000000" w:themeColor="text1"/>
                <w:szCs w:val="21"/>
                <w14:textFill>
                  <w14:solidFill>
                    <w14:schemeClr w14:val="tx1"/>
                  </w14:solidFill>
                </w14:textFill>
              </w:rPr>
              <w:t>有服务类项目经验，每提供一个合同得 1分，最高得4分（须提供合同复印件加盖公章）。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26"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1270" w:type="dxa"/>
            <w:vMerge w:val="continue"/>
            <w:tcBorders>
              <w:left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p>
        </w:tc>
        <w:tc>
          <w:tcPr>
            <w:tcW w:w="1843" w:type="dxa"/>
            <w:gridSpan w:val="2"/>
            <w:tcBorders>
              <w:top w:val="single" w:color="auto" w:sz="4" w:space="0"/>
              <w:left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质量保障能力</w:t>
            </w:r>
          </w:p>
        </w:tc>
        <w:tc>
          <w:tcPr>
            <w:tcW w:w="709" w:type="dxa"/>
            <w:tcBorders>
              <w:top w:val="single" w:color="auto" w:sz="4" w:space="0"/>
              <w:left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r>
              <w:rPr>
                <w:rFonts w:hint="eastAsia"/>
                <w:color w:val="000000" w:themeColor="text1"/>
                <w:szCs w:val="21"/>
                <w14:textFill>
                  <w14:solidFill>
                    <w14:schemeClr w14:val="tx1"/>
                  </w14:solidFill>
                </w14:textFill>
              </w:rPr>
              <w:t>分</w:t>
            </w: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 xml:space="preserve"> </w:t>
            </w:r>
            <w:r>
              <w:rPr>
                <w:rFonts w:hint="eastAsia"/>
                <w:b/>
                <w:bCs/>
                <w:color w:val="FF0000"/>
                <w:szCs w:val="21"/>
              </w:rPr>
              <w:t>投标人或</w:t>
            </w:r>
            <w:r>
              <w:rPr>
                <w:b/>
                <w:bCs/>
                <w:color w:val="FF0000"/>
                <w:szCs w:val="21"/>
              </w:rPr>
              <w:t>双师教学服务提供商</w:t>
            </w:r>
            <w:r>
              <w:rPr>
                <w:rFonts w:hint="eastAsia"/>
                <w:color w:val="000000" w:themeColor="text1"/>
                <w:szCs w:val="21"/>
                <w14:textFill>
                  <w14:solidFill>
                    <w14:schemeClr w14:val="tx1"/>
                  </w14:solidFill>
                </w14:textFill>
              </w:rPr>
              <w:t>提供的教师培训团队，团队成员需具备教师资格，并提供教师资格证书扫描/复印件或拍照证明，以及该培训教师以</w:t>
            </w:r>
            <w:r>
              <w:rPr>
                <w:rFonts w:hint="eastAsia"/>
                <w:b/>
                <w:bCs/>
                <w:color w:val="FF0000"/>
                <w:szCs w:val="21"/>
              </w:rPr>
              <w:t>投标人或</w:t>
            </w:r>
            <w:r>
              <w:rPr>
                <w:b/>
                <w:bCs/>
                <w:color w:val="FF0000"/>
                <w:szCs w:val="21"/>
              </w:rPr>
              <w:t>双师教学服务提供商</w:t>
            </w:r>
            <w:r>
              <w:rPr>
                <w:rFonts w:hint="eastAsia"/>
                <w:color w:val="000000" w:themeColor="text1"/>
                <w:szCs w:val="21"/>
                <w14:textFill>
                  <w14:solidFill>
                    <w14:schemeClr w14:val="tx1"/>
                  </w14:solidFill>
                </w14:textFill>
              </w:rPr>
              <w:t>为主体缴纳的一年及以上社保证明，每提供一个得</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分，最高得</w:t>
            </w:r>
            <w:r>
              <w:rPr>
                <w:color w:val="000000" w:themeColor="text1"/>
                <w:szCs w:val="21"/>
                <w14:textFill>
                  <w14:solidFill>
                    <w14:schemeClr w14:val="tx1"/>
                  </w14:solidFill>
                </w14:textFill>
              </w:rPr>
              <w:t>12</w:t>
            </w:r>
            <w:r>
              <w:rPr>
                <w:rFonts w:hint="eastAsia"/>
                <w:color w:val="000000" w:themeColor="text1"/>
                <w:szCs w:val="21"/>
                <w14:textFill>
                  <w14:solidFill>
                    <w14:schemeClr w14:val="tx1"/>
                  </w14:solidFill>
                </w14:textFill>
              </w:rPr>
              <w:t>分，不提供不得分。</w:t>
            </w:r>
          </w:p>
          <w:p>
            <w:pPr>
              <w:spacing w:line="360" w:lineRule="auto"/>
              <w:rPr>
                <w:b/>
                <w:bCs/>
                <w:color w:val="FF0000"/>
                <w:szCs w:val="21"/>
              </w:rPr>
            </w:pPr>
            <w:r>
              <w:rPr>
                <w:color w:val="000000" w:themeColor="text1"/>
                <w:szCs w:val="21"/>
                <w14:textFill>
                  <w14:solidFill>
                    <w14:schemeClr w14:val="tx1"/>
                  </w14:solidFill>
                </w14:textFill>
              </w:rPr>
              <w:t>2.</w:t>
            </w:r>
            <w:r>
              <w:rPr>
                <w:rFonts w:hint="eastAsia"/>
                <w:b/>
                <w:bCs/>
                <w:color w:val="FF0000"/>
                <w:szCs w:val="21"/>
              </w:rPr>
              <w:t xml:space="preserve"> 投标人或</w:t>
            </w:r>
            <w:r>
              <w:rPr>
                <w:b/>
                <w:bCs/>
                <w:color w:val="FF0000"/>
                <w:szCs w:val="21"/>
              </w:rPr>
              <w:t>双师教学服务提供商</w:t>
            </w:r>
            <w:r>
              <w:rPr>
                <w:rFonts w:hint="eastAsia"/>
                <w:color w:val="000000" w:themeColor="text1"/>
                <w:szCs w:val="21"/>
                <w14:textFill>
                  <w14:solidFill>
                    <w14:schemeClr w14:val="tx1"/>
                  </w14:solidFill>
                </w14:textFill>
              </w:rPr>
              <w:t>提</w:t>
            </w:r>
            <w:r>
              <w:rPr>
                <w:color w:val="000000" w:themeColor="text1"/>
                <w:szCs w:val="21"/>
                <w14:textFill>
                  <w14:solidFill>
                    <w14:schemeClr w14:val="tx1"/>
                  </w14:solidFill>
                </w14:textFill>
              </w:rPr>
              <w:t>供</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技术服务保障团队，团队成员</w:t>
            </w:r>
            <w:r>
              <w:rPr>
                <w:rFonts w:hint="eastAsia"/>
                <w:color w:val="000000" w:themeColor="text1"/>
                <w:szCs w:val="21"/>
                <w14:textFill>
                  <w14:solidFill>
                    <w14:schemeClr w14:val="tx1"/>
                  </w14:solidFill>
                </w14:textFill>
              </w:rPr>
              <w:t>需具备专业机构认证的P</w:t>
            </w:r>
            <w:r>
              <w:rPr>
                <w:color w:val="000000" w:themeColor="text1"/>
                <w:szCs w:val="21"/>
                <w14:textFill>
                  <w14:solidFill>
                    <w14:schemeClr w14:val="tx1"/>
                  </w14:solidFill>
                </w14:textFill>
              </w:rPr>
              <w:t>MP</w:t>
            </w:r>
            <w:r>
              <w:rPr>
                <w:rFonts w:hint="eastAsia"/>
                <w:color w:val="000000" w:themeColor="text1"/>
                <w:szCs w:val="21"/>
                <w14:textFill>
                  <w14:solidFill>
                    <w14:schemeClr w14:val="tx1"/>
                  </w14:solidFill>
                </w14:textFill>
              </w:rPr>
              <w:t>证书，并提供证书扫描/复印件或拍照证明，以及该项目经理以</w:t>
            </w:r>
            <w:r>
              <w:rPr>
                <w:rFonts w:hint="eastAsia"/>
                <w:b/>
                <w:bCs/>
                <w:color w:val="FF0000"/>
                <w:szCs w:val="21"/>
              </w:rPr>
              <w:t>投标人或</w:t>
            </w:r>
            <w:r>
              <w:rPr>
                <w:b/>
                <w:bCs/>
                <w:color w:val="FF0000"/>
                <w:szCs w:val="21"/>
              </w:rPr>
              <w:t>双师教学服务提供商</w:t>
            </w:r>
            <w:r>
              <w:rPr>
                <w:rFonts w:hint="eastAsia"/>
                <w:color w:val="000000" w:themeColor="text1"/>
                <w:szCs w:val="21"/>
                <w14:textFill>
                  <w14:solidFill>
                    <w14:schemeClr w14:val="tx1"/>
                  </w14:solidFill>
                </w14:textFill>
              </w:rPr>
              <w:t>为主体缴纳的一年及以上社保证明，每提供一个得1分，最高得</w:t>
            </w: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426" w:type="dxa"/>
            <w:vMerge w:val="restart"/>
            <w:tcBorders>
              <w:top w:val="single" w:color="auto" w:sz="4" w:space="0"/>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1270" w:type="dxa"/>
            <w:vMerge w:val="restart"/>
            <w:tcBorders>
              <w:top w:val="single" w:color="auto" w:sz="4" w:space="0"/>
              <w:left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技术得分（50）</w:t>
            </w:r>
          </w:p>
        </w:tc>
        <w:tc>
          <w:tcPr>
            <w:tcW w:w="993" w:type="dxa"/>
            <w:vMerge w:val="restart"/>
            <w:tcBorders>
              <w:top w:val="single" w:color="auto" w:sz="4" w:space="0"/>
              <w:left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直播系统功能指标</w:t>
            </w:r>
          </w:p>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证明</w:t>
            </w:r>
          </w:p>
        </w:tc>
        <w:tc>
          <w:tcPr>
            <w:tcW w:w="850" w:type="dxa"/>
            <w:vMerge w:val="restart"/>
            <w:tcBorders>
              <w:top w:val="single" w:color="auto" w:sz="4" w:space="0"/>
              <w:left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软件产品功能截图</w:t>
            </w:r>
          </w:p>
        </w:tc>
        <w:tc>
          <w:tcPr>
            <w:tcW w:w="709" w:type="dxa"/>
            <w:vMerge w:val="restart"/>
            <w:tcBorders>
              <w:top w:val="single" w:color="auto" w:sz="4" w:space="0"/>
              <w:left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30分</w:t>
            </w: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支持按照学区、科目、名字/手机号/职务/简介/学科来搜索老师；（2分）；</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支持通过手机号、学区、科目、昵称、职务、简介等要素进行老师管理（2分）；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426"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1270"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993"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850"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支持按照学区、科目、年级、课程名、学科进行课程搜索（2分）；</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支持通过年级、科目、老师、课程名称和教学目标进行课程管理（2分）；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426"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1270"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993"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850"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普通共享【支持屏幕、白板、图片、office文档、视频文件等各种类型的共享】（提供功能截图，全支持4分；提供功能截图，功能少一项扣2分；不提供截图不得分）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426"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1270"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993"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850"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高级共享【支持共享部分屏幕、第二摄像头、</w:t>
            </w:r>
            <w:r>
              <w:rPr>
                <w:rFonts w:hint="eastAsia" w:cs="Segoe UI Symbol"/>
                <w:color w:val="000000" w:themeColor="text1"/>
                <w:szCs w:val="21"/>
                <w14:textFill>
                  <w14:solidFill>
                    <w14:schemeClr w14:val="tx1"/>
                  </w14:solidFill>
                </w14:textFill>
              </w:rPr>
              <w:t>只共享</w:t>
            </w:r>
            <w:r>
              <w:rPr>
                <w:rFonts w:hint="eastAsia"/>
                <w:color w:val="000000" w:themeColor="text1"/>
                <w:szCs w:val="21"/>
                <w14:textFill>
                  <w14:solidFill>
                    <w14:schemeClr w14:val="tx1"/>
                  </w14:solidFill>
                </w14:textFill>
              </w:rPr>
              <w:t>音频】（提供功能截图，全支持2分；提供功能截图，功能少一项扣1分；不提供截图不得分）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426"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1270"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993"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850"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屏幕共享清晰度和帧率1080</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20~30fps（提供功能截图，指标合格得4分；不提供功能截图不得分；指标不合格不得分；）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426"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1270"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993"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850"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视频共享清晰度和帧率1080</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20~30fps（提供功能截图，指标合格得4分；不提供功能截图不得分；指标不合格不得分；）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426"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1270"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993"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850"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双屏双流模式展示（提供此项功能截图得4分，不提供不得分；不是双屏双流模式不得分；）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426"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1270"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993"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850"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老师授课综合展示（包含音视频互动、课件共享、流媒体共享的授课展示，提供此项功能截图得4分，不提供不得分，展示不全不得分）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426"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1270"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1843" w:type="dxa"/>
            <w:gridSpan w:val="2"/>
            <w:tcBorders>
              <w:top w:val="single" w:color="auto" w:sz="4" w:space="0"/>
              <w:left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双师课堂授课</w:t>
            </w:r>
          </w:p>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服务方案</w:t>
            </w:r>
          </w:p>
        </w:tc>
        <w:tc>
          <w:tcPr>
            <w:tcW w:w="709" w:type="dxa"/>
            <w:tcBorders>
              <w:top w:val="single" w:color="auto" w:sz="4" w:space="0"/>
              <w:left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分</w:t>
            </w: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Cs w:val="21"/>
              </w:rPr>
            </w:pPr>
            <w:r>
              <w:rPr>
                <w:rFonts w:hint="eastAsia"/>
                <w:color w:val="000000"/>
                <w:szCs w:val="21"/>
              </w:rPr>
              <w:t>根据投标人提供的</w:t>
            </w:r>
            <w:r>
              <w:rPr>
                <w:szCs w:val="21"/>
              </w:rPr>
              <w:t>服务</w:t>
            </w:r>
            <w:r>
              <w:rPr>
                <w:rFonts w:hint="eastAsia"/>
                <w:color w:val="000000"/>
                <w:szCs w:val="21"/>
              </w:rPr>
              <w:t>方案评定：</w:t>
            </w:r>
          </w:p>
          <w:p>
            <w:pPr>
              <w:spacing w:line="360" w:lineRule="auto"/>
              <w:rPr>
                <w:color w:val="000000" w:themeColor="text1"/>
                <w:szCs w:val="21"/>
                <w14:textFill>
                  <w14:solidFill>
                    <w14:schemeClr w14:val="tx1"/>
                  </w14:solidFill>
                </w14:textFill>
              </w:rPr>
            </w:pPr>
            <w:r>
              <w:rPr>
                <w:rFonts w:hint="eastAsia"/>
                <w:color w:val="000000"/>
                <w:szCs w:val="21"/>
              </w:rPr>
              <w:t>根据投标人对项目需求的理解，</w:t>
            </w:r>
            <w:r>
              <w:rPr>
                <w:szCs w:val="21"/>
              </w:rPr>
              <w:t>提供详细完整的</w:t>
            </w:r>
            <w:r>
              <w:rPr>
                <w:rFonts w:hint="eastAsia"/>
                <w:szCs w:val="21"/>
              </w:rPr>
              <w:t>授课</w:t>
            </w:r>
            <w:r>
              <w:rPr>
                <w:szCs w:val="21"/>
              </w:rPr>
              <w:t>服务方案</w:t>
            </w:r>
            <w:r>
              <w:rPr>
                <w:color w:val="000000" w:themeColor="text1"/>
                <w:szCs w:val="21"/>
                <w14:textFill>
                  <w14:solidFill>
                    <w14:schemeClr w14:val="tx1"/>
                  </w14:solidFill>
                </w14:textFill>
              </w:rPr>
              <w:t>，有完善的</w:t>
            </w:r>
            <w:r>
              <w:rPr>
                <w:rFonts w:hint="eastAsia"/>
                <w:color w:val="000000" w:themeColor="text1"/>
                <w:szCs w:val="21"/>
                <w14:textFill>
                  <w14:solidFill>
                    <w14:schemeClr w14:val="tx1"/>
                  </w14:solidFill>
                </w14:textFill>
              </w:rPr>
              <w:t>授课</w:t>
            </w:r>
            <w:r>
              <w:rPr>
                <w:color w:val="000000" w:themeColor="text1"/>
                <w:szCs w:val="21"/>
                <w14:textFill>
                  <w14:solidFill>
                    <w14:schemeClr w14:val="tx1"/>
                  </w14:solidFill>
                </w14:textFill>
              </w:rPr>
              <w:t>服务体系、实施</w:t>
            </w:r>
            <w:r>
              <w:rPr>
                <w:rFonts w:hint="eastAsia"/>
                <w:color w:val="000000" w:themeColor="text1"/>
                <w:szCs w:val="21"/>
                <w14:textFill>
                  <w14:solidFill>
                    <w14:schemeClr w14:val="tx1"/>
                  </w14:solidFill>
                </w14:textFill>
              </w:rPr>
              <w:t>计划。方案被评为优的得</w:t>
            </w:r>
            <w:r>
              <w:rPr>
                <w:color w:val="000000" w:themeColor="text1"/>
                <w:szCs w:val="21"/>
                <w14:textFill>
                  <w14:solidFill>
                    <w14:schemeClr w14:val="tx1"/>
                  </w14:solidFill>
                </w14:textFill>
              </w:rPr>
              <w:t>10-15分</w:t>
            </w:r>
            <w:r>
              <w:rPr>
                <w:rFonts w:hint="eastAsia"/>
                <w:color w:val="000000" w:themeColor="text1"/>
                <w:szCs w:val="21"/>
                <w14:textFill>
                  <w14:solidFill>
                    <w14:schemeClr w14:val="tx1"/>
                  </w14:solidFill>
                </w14:textFill>
              </w:rPr>
              <w:t>，评为良的得</w:t>
            </w:r>
            <w:r>
              <w:rPr>
                <w:color w:val="000000" w:themeColor="text1"/>
                <w:szCs w:val="21"/>
                <w14:textFill>
                  <w14:solidFill>
                    <w14:schemeClr w14:val="tx1"/>
                  </w14:solidFill>
                </w14:textFill>
              </w:rPr>
              <w:t>5-9</w:t>
            </w:r>
            <w:r>
              <w:rPr>
                <w:rFonts w:hint="eastAsia"/>
                <w:color w:val="000000" w:themeColor="text1"/>
                <w:szCs w:val="21"/>
                <w14:textFill>
                  <w14:solidFill>
                    <w14:schemeClr w14:val="tx1"/>
                  </w14:solidFill>
                </w14:textFill>
              </w:rPr>
              <w:t>分，评为一般的得</w:t>
            </w:r>
            <w:r>
              <w:rPr>
                <w:color w:val="000000" w:themeColor="text1"/>
                <w:szCs w:val="21"/>
                <w14:textFill>
                  <w14:solidFill>
                    <w14:schemeClr w14:val="tx1"/>
                  </w14:solidFill>
                </w14:textFill>
              </w:rPr>
              <w:t>1-4</w:t>
            </w:r>
            <w:r>
              <w:rPr>
                <w:rFonts w:hint="eastAsia"/>
                <w:color w:val="000000" w:themeColor="text1"/>
                <w:szCs w:val="21"/>
                <w14:textFill>
                  <w14:solidFill>
                    <w14:schemeClr w14:val="tx1"/>
                  </w14:solidFill>
                </w14:textFill>
              </w:rPr>
              <w:t>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1270" w:type="dxa"/>
            <w:vMerge w:val="continue"/>
            <w:tcBorders>
              <w:left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售后服务</w:t>
            </w:r>
          </w:p>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承诺评价</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5分</w:t>
            </w: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对比各投标人承诺，从投标人服务承诺、系统操作培训方案等进行综合比较。</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优：4-5分；良：2-3分；差：0-1分。</w:t>
            </w:r>
          </w:p>
        </w:tc>
      </w:tr>
    </w:tbl>
    <w:p>
      <w:pPr>
        <w:pStyle w:val="2"/>
        <w:spacing w:line="360" w:lineRule="auto"/>
        <w:jc w:val="both"/>
        <w:rPr>
          <w:rStyle w:val="20"/>
          <w:rFonts w:ascii="宋体" w:hAnsi="宋体" w:eastAsia="宋体" w:cstheme="minorBidi"/>
          <w:b/>
          <w:sz w:val="30"/>
          <w:szCs w:val="48"/>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61F4"/>
    <w:multiLevelType w:val="multilevel"/>
    <w:tmpl w:val="201E61F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F62CA6"/>
    <w:multiLevelType w:val="multilevel"/>
    <w:tmpl w:val="36F62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8595522"/>
    <w:multiLevelType w:val="multilevel"/>
    <w:tmpl w:val="485955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7E24687"/>
    <w:multiLevelType w:val="multilevel"/>
    <w:tmpl w:val="57E246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FB84085"/>
    <w:multiLevelType w:val="multilevel"/>
    <w:tmpl w:val="6FB84085"/>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92E268A"/>
    <w:multiLevelType w:val="multilevel"/>
    <w:tmpl w:val="792E268A"/>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98"/>
    <w:rsid w:val="00003A00"/>
    <w:rsid w:val="0001134F"/>
    <w:rsid w:val="00016C25"/>
    <w:rsid w:val="0003281B"/>
    <w:rsid w:val="00041343"/>
    <w:rsid w:val="00057A5B"/>
    <w:rsid w:val="00062041"/>
    <w:rsid w:val="000708B7"/>
    <w:rsid w:val="00073F0F"/>
    <w:rsid w:val="00075FA1"/>
    <w:rsid w:val="000A05ED"/>
    <w:rsid w:val="000A2A71"/>
    <w:rsid w:val="000B0729"/>
    <w:rsid w:val="000B5548"/>
    <w:rsid w:val="000D3E37"/>
    <w:rsid w:val="000F0260"/>
    <w:rsid w:val="000F0FB0"/>
    <w:rsid w:val="000F5197"/>
    <w:rsid w:val="001110C4"/>
    <w:rsid w:val="0011207B"/>
    <w:rsid w:val="00123BF6"/>
    <w:rsid w:val="00130B8D"/>
    <w:rsid w:val="00191431"/>
    <w:rsid w:val="001A0656"/>
    <w:rsid w:val="001A3603"/>
    <w:rsid w:val="001A40BF"/>
    <w:rsid w:val="001A4370"/>
    <w:rsid w:val="001A54D8"/>
    <w:rsid w:val="001A73A4"/>
    <w:rsid w:val="001B4EFD"/>
    <w:rsid w:val="001D021D"/>
    <w:rsid w:val="001D1A89"/>
    <w:rsid w:val="00200F43"/>
    <w:rsid w:val="00226BF0"/>
    <w:rsid w:val="00226DF4"/>
    <w:rsid w:val="00242154"/>
    <w:rsid w:val="00246B39"/>
    <w:rsid w:val="00250717"/>
    <w:rsid w:val="00272197"/>
    <w:rsid w:val="00282A01"/>
    <w:rsid w:val="00292D58"/>
    <w:rsid w:val="00292FBC"/>
    <w:rsid w:val="00296088"/>
    <w:rsid w:val="002C2B79"/>
    <w:rsid w:val="002D108F"/>
    <w:rsid w:val="002F1395"/>
    <w:rsid w:val="002F4883"/>
    <w:rsid w:val="00305F01"/>
    <w:rsid w:val="003062E5"/>
    <w:rsid w:val="003131EF"/>
    <w:rsid w:val="003167CE"/>
    <w:rsid w:val="00321BA8"/>
    <w:rsid w:val="00322FD0"/>
    <w:rsid w:val="00352AB6"/>
    <w:rsid w:val="00362E86"/>
    <w:rsid w:val="0036347B"/>
    <w:rsid w:val="00370542"/>
    <w:rsid w:val="003C44D0"/>
    <w:rsid w:val="003C59AB"/>
    <w:rsid w:val="003D2425"/>
    <w:rsid w:val="00404245"/>
    <w:rsid w:val="004427DC"/>
    <w:rsid w:val="00442FEE"/>
    <w:rsid w:val="00491DA7"/>
    <w:rsid w:val="00492B6C"/>
    <w:rsid w:val="004A6ACB"/>
    <w:rsid w:val="004B2A26"/>
    <w:rsid w:val="004D29BC"/>
    <w:rsid w:val="004F796C"/>
    <w:rsid w:val="00501708"/>
    <w:rsid w:val="0053375C"/>
    <w:rsid w:val="005911CD"/>
    <w:rsid w:val="0059475B"/>
    <w:rsid w:val="005A3BBC"/>
    <w:rsid w:val="005A4F5A"/>
    <w:rsid w:val="005B1968"/>
    <w:rsid w:val="005D02EE"/>
    <w:rsid w:val="005D596F"/>
    <w:rsid w:val="005D6181"/>
    <w:rsid w:val="005D6E3C"/>
    <w:rsid w:val="005E5AF0"/>
    <w:rsid w:val="005E7111"/>
    <w:rsid w:val="00602644"/>
    <w:rsid w:val="00607CE5"/>
    <w:rsid w:val="00615EB5"/>
    <w:rsid w:val="00621BE3"/>
    <w:rsid w:val="00624653"/>
    <w:rsid w:val="006355B3"/>
    <w:rsid w:val="00635AEF"/>
    <w:rsid w:val="00642BE3"/>
    <w:rsid w:val="0067545F"/>
    <w:rsid w:val="00676DE0"/>
    <w:rsid w:val="00682F96"/>
    <w:rsid w:val="00693CEB"/>
    <w:rsid w:val="006A00B2"/>
    <w:rsid w:val="006A26AD"/>
    <w:rsid w:val="006A6454"/>
    <w:rsid w:val="006C0E41"/>
    <w:rsid w:val="006C5740"/>
    <w:rsid w:val="0072244E"/>
    <w:rsid w:val="00731BA9"/>
    <w:rsid w:val="007430DB"/>
    <w:rsid w:val="00763740"/>
    <w:rsid w:val="00765FD1"/>
    <w:rsid w:val="00774C6E"/>
    <w:rsid w:val="00784DBE"/>
    <w:rsid w:val="00786984"/>
    <w:rsid w:val="00790921"/>
    <w:rsid w:val="0079481F"/>
    <w:rsid w:val="007B0ED9"/>
    <w:rsid w:val="007F147D"/>
    <w:rsid w:val="007F289E"/>
    <w:rsid w:val="00802D05"/>
    <w:rsid w:val="00810D9C"/>
    <w:rsid w:val="0084199E"/>
    <w:rsid w:val="0084322A"/>
    <w:rsid w:val="0084720E"/>
    <w:rsid w:val="008603C3"/>
    <w:rsid w:val="0087467F"/>
    <w:rsid w:val="008869E9"/>
    <w:rsid w:val="008A4289"/>
    <w:rsid w:val="008E1663"/>
    <w:rsid w:val="008E3523"/>
    <w:rsid w:val="008E795D"/>
    <w:rsid w:val="008F12E4"/>
    <w:rsid w:val="008F29B0"/>
    <w:rsid w:val="008F6690"/>
    <w:rsid w:val="00927F19"/>
    <w:rsid w:val="00945F9C"/>
    <w:rsid w:val="00951F9F"/>
    <w:rsid w:val="009645FA"/>
    <w:rsid w:val="00974798"/>
    <w:rsid w:val="009757CB"/>
    <w:rsid w:val="0098114E"/>
    <w:rsid w:val="00994619"/>
    <w:rsid w:val="00994687"/>
    <w:rsid w:val="00995F3F"/>
    <w:rsid w:val="0099681B"/>
    <w:rsid w:val="009E71AC"/>
    <w:rsid w:val="00A04F1D"/>
    <w:rsid w:val="00A0735C"/>
    <w:rsid w:val="00A10CB3"/>
    <w:rsid w:val="00A16E34"/>
    <w:rsid w:val="00A20131"/>
    <w:rsid w:val="00A24037"/>
    <w:rsid w:val="00A423E2"/>
    <w:rsid w:val="00A46301"/>
    <w:rsid w:val="00A50442"/>
    <w:rsid w:val="00A629B5"/>
    <w:rsid w:val="00A74D73"/>
    <w:rsid w:val="00A85F1D"/>
    <w:rsid w:val="00A9007B"/>
    <w:rsid w:val="00A93F4A"/>
    <w:rsid w:val="00A96387"/>
    <w:rsid w:val="00AB6FAD"/>
    <w:rsid w:val="00AD46E2"/>
    <w:rsid w:val="00AF4F9F"/>
    <w:rsid w:val="00AF5B47"/>
    <w:rsid w:val="00B03EE4"/>
    <w:rsid w:val="00B35968"/>
    <w:rsid w:val="00B40FF8"/>
    <w:rsid w:val="00B54CB9"/>
    <w:rsid w:val="00B63034"/>
    <w:rsid w:val="00B72FD4"/>
    <w:rsid w:val="00B733CE"/>
    <w:rsid w:val="00B906E7"/>
    <w:rsid w:val="00B9353A"/>
    <w:rsid w:val="00BA1DFC"/>
    <w:rsid w:val="00BB1F98"/>
    <w:rsid w:val="00BE47F8"/>
    <w:rsid w:val="00C008DF"/>
    <w:rsid w:val="00C23E65"/>
    <w:rsid w:val="00C531BD"/>
    <w:rsid w:val="00C54AB9"/>
    <w:rsid w:val="00C72CFE"/>
    <w:rsid w:val="00CC7BDC"/>
    <w:rsid w:val="00CE1712"/>
    <w:rsid w:val="00CF1353"/>
    <w:rsid w:val="00CF6196"/>
    <w:rsid w:val="00D21952"/>
    <w:rsid w:val="00D43D0B"/>
    <w:rsid w:val="00D51FBD"/>
    <w:rsid w:val="00D73FB5"/>
    <w:rsid w:val="00D76C86"/>
    <w:rsid w:val="00D87C84"/>
    <w:rsid w:val="00D91774"/>
    <w:rsid w:val="00DA4D3D"/>
    <w:rsid w:val="00DA7268"/>
    <w:rsid w:val="00DC188F"/>
    <w:rsid w:val="00DC2CC0"/>
    <w:rsid w:val="00DC7E0B"/>
    <w:rsid w:val="00DD26EA"/>
    <w:rsid w:val="00DE01BC"/>
    <w:rsid w:val="00DE5F76"/>
    <w:rsid w:val="00E16362"/>
    <w:rsid w:val="00E21041"/>
    <w:rsid w:val="00E23092"/>
    <w:rsid w:val="00E27816"/>
    <w:rsid w:val="00E415F0"/>
    <w:rsid w:val="00E55FC2"/>
    <w:rsid w:val="00E57EE6"/>
    <w:rsid w:val="00E63D76"/>
    <w:rsid w:val="00E9651F"/>
    <w:rsid w:val="00EA6BEC"/>
    <w:rsid w:val="00EA7C8F"/>
    <w:rsid w:val="00EC114B"/>
    <w:rsid w:val="00EC2141"/>
    <w:rsid w:val="00ED121A"/>
    <w:rsid w:val="00ED736A"/>
    <w:rsid w:val="00EF2405"/>
    <w:rsid w:val="00F0120B"/>
    <w:rsid w:val="00F22E77"/>
    <w:rsid w:val="00F53701"/>
    <w:rsid w:val="00F57715"/>
    <w:rsid w:val="00F76C9B"/>
    <w:rsid w:val="00FB70C0"/>
    <w:rsid w:val="00FC51D1"/>
    <w:rsid w:val="00FD2E3F"/>
    <w:rsid w:val="00FE2915"/>
    <w:rsid w:val="00FF02F3"/>
    <w:rsid w:val="1AF712EB"/>
    <w:rsid w:val="24B865F5"/>
    <w:rsid w:val="3C4E79EF"/>
    <w:rsid w:val="56573E89"/>
    <w:rsid w:val="5AD97475"/>
    <w:rsid w:val="5CD740E5"/>
    <w:rsid w:val="69FFD911"/>
    <w:rsid w:val="6B9A2B2A"/>
    <w:rsid w:val="703B1477"/>
    <w:rsid w:val="7DB15441"/>
    <w:rsid w:val="7E77E8F2"/>
    <w:rsid w:val="7FF3F418"/>
    <w:rsid w:val="8FB72087"/>
    <w:rsid w:val="9BFA852E"/>
    <w:rsid w:val="BE435B99"/>
    <w:rsid w:val="FAE7859C"/>
    <w:rsid w:val="FF7D7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9"/>
    <w:qFormat/>
    <w:uiPriority w:val="9"/>
    <w:pPr>
      <w:keepNext/>
      <w:keepLines/>
      <w:widowControl w:val="0"/>
      <w:spacing w:line="540" w:lineRule="auto"/>
      <w:jc w:val="center"/>
      <w:outlineLvl w:val="0"/>
    </w:pPr>
    <w:rPr>
      <w:rFonts w:cstheme="minorBidi"/>
      <w:b/>
      <w:bCs/>
      <w:kern w:val="44"/>
      <w:sz w:val="30"/>
      <w:szCs w:val="48"/>
    </w:rPr>
  </w:style>
  <w:style w:type="paragraph" w:styleId="3">
    <w:name w:val="heading 2"/>
    <w:basedOn w:val="1"/>
    <w:next w:val="1"/>
    <w:link w:val="20"/>
    <w:qFormat/>
    <w:uiPriority w:val="9"/>
    <w:pPr>
      <w:keepNext/>
      <w:keepLines/>
      <w:widowControl w:val="0"/>
      <w:spacing w:before="260" w:after="260" w:line="500" w:lineRule="exact"/>
      <w:jc w:val="both"/>
      <w:outlineLvl w:val="1"/>
    </w:pPr>
    <w:rPr>
      <w:rFonts w:ascii="Arial" w:hAnsi="Arial" w:eastAsia="黑体" w:cs="Arial"/>
      <w:b/>
      <w:kern w:val="2"/>
      <w:sz w:val="28"/>
      <w:szCs w:val="28"/>
    </w:rPr>
  </w:style>
  <w:style w:type="paragraph" w:styleId="4">
    <w:name w:val="heading 3"/>
    <w:basedOn w:val="1"/>
    <w:next w:val="1"/>
    <w:link w:val="30"/>
    <w:unhideWhenUsed/>
    <w:qFormat/>
    <w:uiPriority w:val="9"/>
    <w:pPr>
      <w:keepNext/>
      <w:keepLines/>
      <w:widowControl w:val="0"/>
      <w:spacing w:line="360" w:lineRule="auto"/>
      <w:jc w:val="both"/>
      <w:outlineLvl w:val="2"/>
    </w:pPr>
    <w:rPr>
      <w:rFonts w:cstheme="minorBidi"/>
      <w:b/>
      <w:bCs/>
      <w:kern w:val="2"/>
      <w:sz w:val="32"/>
      <w:szCs w:val="32"/>
    </w:rPr>
  </w:style>
  <w:style w:type="paragraph" w:styleId="5">
    <w:name w:val="heading 4"/>
    <w:basedOn w:val="1"/>
    <w:next w:val="1"/>
    <w:link w:val="31"/>
    <w:unhideWhenUsed/>
    <w:qFormat/>
    <w:uiPriority w:val="9"/>
    <w:pPr>
      <w:keepNext/>
      <w:keepLines/>
      <w:widowControl w:val="0"/>
      <w:spacing w:line="360" w:lineRule="auto"/>
      <w:ind w:left="426" w:firstLine="1"/>
      <w:jc w:val="both"/>
      <w:outlineLvl w:val="3"/>
    </w:pPr>
    <w:rPr>
      <w:rFonts w:cstheme="majorBidi"/>
      <w:b/>
      <w:bCs/>
      <w:kern w:val="2"/>
      <w:sz w:val="30"/>
      <w:szCs w:val="30"/>
    </w:rPr>
  </w:style>
  <w:style w:type="paragraph" w:styleId="6">
    <w:name w:val="heading 5"/>
    <w:basedOn w:val="1"/>
    <w:next w:val="1"/>
    <w:link w:val="32"/>
    <w:unhideWhenUsed/>
    <w:qFormat/>
    <w:uiPriority w:val="9"/>
    <w:pPr>
      <w:keepNext/>
      <w:keepLines/>
      <w:widowControl w:val="0"/>
      <w:spacing w:line="360" w:lineRule="auto"/>
      <w:ind w:left="993" w:firstLine="1"/>
      <w:jc w:val="both"/>
      <w:outlineLvl w:val="4"/>
    </w:pPr>
    <w:rPr>
      <w:rFonts w:cstheme="minorBidi"/>
      <w:b/>
      <w:bCs/>
      <w:kern w:val="2"/>
      <w:sz w:val="28"/>
      <w:szCs w:val="28"/>
    </w:rPr>
  </w:style>
  <w:style w:type="paragraph" w:styleId="7">
    <w:name w:val="heading 6"/>
    <w:basedOn w:val="1"/>
    <w:next w:val="1"/>
    <w:link w:val="33"/>
    <w:unhideWhenUsed/>
    <w:qFormat/>
    <w:uiPriority w:val="9"/>
    <w:pPr>
      <w:keepNext/>
      <w:keepLines/>
      <w:widowControl w:val="0"/>
      <w:spacing w:line="360" w:lineRule="auto"/>
      <w:ind w:left="1701" w:firstLine="1"/>
      <w:jc w:val="both"/>
      <w:outlineLvl w:val="5"/>
    </w:pPr>
    <w:rPr>
      <w:rFonts w:cstheme="majorBidi"/>
      <w:b/>
      <w:bCs/>
      <w:kern w:val="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8">
    <w:name w:val="annotation text"/>
    <w:basedOn w:val="1"/>
    <w:link w:val="40"/>
    <w:unhideWhenUsed/>
    <w:qFormat/>
    <w:uiPriority w:val="99"/>
    <w:pPr>
      <w:widowControl w:val="0"/>
    </w:pPr>
    <w:rPr>
      <w:rFonts w:ascii="Calibri" w:hAnsi="Calibri" w:cs="Times New Roman"/>
      <w:kern w:val="2"/>
      <w:sz w:val="21"/>
    </w:rPr>
  </w:style>
  <w:style w:type="paragraph" w:styleId="9">
    <w:name w:val="Body Text"/>
    <w:basedOn w:val="1"/>
    <w:link w:val="27"/>
    <w:qFormat/>
    <w:uiPriority w:val="0"/>
    <w:pPr>
      <w:widowControl w:val="0"/>
      <w:jc w:val="both"/>
    </w:pPr>
    <w:rPr>
      <w:rFonts w:ascii="Calibri" w:hAnsi="Calibri" w:cs="Times New Roman"/>
      <w:kern w:val="2"/>
      <w:sz w:val="32"/>
      <w:szCs w:val="36"/>
    </w:rPr>
  </w:style>
  <w:style w:type="paragraph" w:styleId="10">
    <w:name w:val="Body Text Indent"/>
    <w:basedOn w:val="1"/>
    <w:link w:val="37"/>
    <w:unhideWhenUsed/>
    <w:qFormat/>
    <w:uiPriority w:val="99"/>
    <w:pPr>
      <w:widowControl w:val="0"/>
      <w:spacing w:after="120"/>
      <w:ind w:left="420" w:leftChars="200"/>
      <w:jc w:val="both"/>
    </w:pPr>
    <w:rPr>
      <w:rFonts w:ascii="Calibri" w:hAnsi="Calibri" w:cs="Times New Roman"/>
      <w:kern w:val="2"/>
      <w:sz w:val="21"/>
    </w:rPr>
  </w:style>
  <w:style w:type="paragraph" w:styleId="11">
    <w:name w:val="Balloon Text"/>
    <w:basedOn w:val="1"/>
    <w:link w:val="39"/>
    <w:semiHidden/>
    <w:unhideWhenUsed/>
    <w:uiPriority w:val="99"/>
    <w:rPr>
      <w:sz w:val="18"/>
      <w:szCs w:val="18"/>
    </w:rPr>
  </w:style>
  <w:style w:type="paragraph" w:styleId="12">
    <w:name w:val="footer"/>
    <w:basedOn w:val="1"/>
    <w:link w:val="36"/>
    <w:unhideWhenUsed/>
    <w:qFormat/>
    <w:uiPriority w:val="99"/>
    <w:pPr>
      <w:widowControl w:val="0"/>
      <w:tabs>
        <w:tab w:val="center" w:pos="4153"/>
        <w:tab w:val="right" w:pos="8306"/>
      </w:tabs>
      <w:snapToGrid w:val="0"/>
    </w:pPr>
    <w:rPr>
      <w:rFonts w:ascii="Calibri" w:hAnsi="Calibri" w:cs="Times New Roman"/>
      <w:kern w:val="2"/>
      <w:sz w:val="18"/>
      <w:szCs w:val="18"/>
    </w:rPr>
  </w:style>
  <w:style w:type="paragraph" w:styleId="13">
    <w:name w:val="header"/>
    <w:basedOn w:val="1"/>
    <w:link w:val="35"/>
    <w:unhideWhenUsed/>
    <w:qFormat/>
    <w:uiPriority w:val="99"/>
    <w:pPr>
      <w:widowControl w:val="0"/>
      <w:pBdr>
        <w:bottom w:val="single" w:color="auto" w:sz="6" w:space="1"/>
      </w:pBdr>
      <w:tabs>
        <w:tab w:val="center" w:pos="4153"/>
        <w:tab w:val="right" w:pos="8306"/>
      </w:tabs>
      <w:snapToGrid w:val="0"/>
      <w:jc w:val="center"/>
    </w:pPr>
    <w:rPr>
      <w:rFonts w:ascii="Calibri" w:hAnsi="Calibri" w:cs="Times New Roman"/>
      <w:kern w:val="2"/>
      <w:sz w:val="18"/>
      <w:szCs w:val="18"/>
    </w:rPr>
  </w:style>
  <w:style w:type="paragraph" w:styleId="14">
    <w:name w:val="annotation subject"/>
    <w:basedOn w:val="8"/>
    <w:next w:val="8"/>
    <w:link w:val="41"/>
    <w:semiHidden/>
    <w:unhideWhenUsed/>
    <w:uiPriority w:val="99"/>
    <w:rPr>
      <w:b/>
      <w:bCs/>
    </w:rPr>
  </w:style>
  <w:style w:type="paragraph" w:styleId="15">
    <w:name w:val="Body Text First Indent 2"/>
    <w:basedOn w:val="10"/>
    <w:link w:val="38"/>
    <w:unhideWhenUsed/>
    <w:qFormat/>
    <w:uiPriority w:val="99"/>
    <w:pPr>
      <w:ind w:firstLine="420" w:firstLineChars="200"/>
    </w:p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annotation reference"/>
    <w:basedOn w:val="18"/>
    <w:semiHidden/>
    <w:unhideWhenUsed/>
    <w:qFormat/>
    <w:uiPriority w:val="99"/>
    <w:rPr>
      <w:sz w:val="21"/>
      <w:szCs w:val="21"/>
    </w:rPr>
  </w:style>
  <w:style w:type="character" w:customStyle="1" w:styleId="20">
    <w:name w:val="标题 2 字符"/>
    <w:basedOn w:val="18"/>
    <w:link w:val="3"/>
    <w:qFormat/>
    <w:uiPriority w:val="9"/>
    <w:rPr>
      <w:rFonts w:ascii="Arial" w:hAnsi="Arial" w:eastAsia="黑体" w:cs="Arial"/>
      <w:b/>
      <w:sz w:val="28"/>
      <w:szCs w:val="28"/>
    </w:rPr>
  </w:style>
  <w:style w:type="character" w:customStyle="1" w:styleId="21">
    <w:name w:val="列出段落 Char"/>
    <w:link w:val="22"/>
    <w:qFormat/>
    <w:uiPriority w:val="0"/>
    <w:rPr>
      <w:rFonts w:ascii="Calibri" w:hAnsi="Calibri"/>
    </w:rPr>
  </w:style>
  <w:style w:type="paragraph" w:customStyle="1" w:styleId="22">
    <w:name w:val="列出段落1"/>
    <w:basedOn w:val="1"/>
    <w:link w:val="21"/>
    <w:qFormat/>
    <w:uiPriority w:val="0"/>
    <w:pPr>
      <w:widowControl w:val="0"/>
      <w:ind w:firstLine="420" w:firstLineChars="200"/>
      <w:jc w:val="both"/>
    </w:pPr>
    <w:rPr>
      <w:rFonts w:ascii="Calibri" w:hAnsi="Calibri" w:eastAsiaTheme="minorEastAsia" w:cstheme="minorBidi"/>
      <w:kern w:val="2"/>
      <w:sz w:val="21"/>
      <w:szCs w:val="22"/>
    </w:rPr>
  </w:style>
  <w:style w:type="paragraph" w:customStyle="1" w:styleId="23">
    <w:name w:val="列出段落2"/>
    <w:basedOn w:val="1"/>
    <w:link w:val="24"/>
    <w:qFormat/>
    <w:uiPriority w:val="34"/>
    <w:pPr>
      <w:widowControl w:val="0"/>
      <w:ind w:firstLine="420" w:firstLineChars="200"/>
      <w:jc w:val="both"/>
    </w:pPr>
    <w:rPr>
      <w:rFonts w:ascii="Calibri" w:hAnsi="Calibri" w:cs="Times New Roman"/>
      <w:kern w:val="2"/>
      <w:sz w:val="21"/>
      <w:szCs w:val="22"/>
    </w:rPr>
  </w:style>
  <w:style w:type="character" w:customStyle="1" w:styleId="24">
    <w:name w:val="列出段落 字符"/>
    <w:link w:val="23"/>
    <w:qFormat/>
    <w:locked/>
    <w:uiPriority w:val="34"/>
    <w:rPr>
      <w:rFonts w:ascii="Calibri" w:hAnsi="Calibri" w:eastAsia="宋体" w:cs="Times New Roman"/>
    </w:rPr>
  </w:style>
  <w:style w:type="paragraph" w:customStyle="1" w:styleId="25">
    <w:name w:val="列出段落4"/>
    <w:basedOn w:val="1"/>
    <w:qFormat/>
    <w:uiPriority w:val="34"/>
    <w:pPr>
      <w:widowControl w:val="0"/>
      <w:ind w:firstLine="420" w:firstLineChars="200"/>
      <w:jc w:val="both"/>
    </w:pPr>
    <w:rPr>
      <w:rFonts w:ascii="Calibri" w:hAnsi="Calibri" w:cs="Times New Roman"/>
      <w:kern w:val="2"/>
      <w:sz w:val="21"/>
      <w:szCs w:val="22"/>
    </w:rPr>
  </w:style>
  <w:style w:type="paragraph" w:customStyle="1" w:styleId="26">
    <w:name w:val="_Style 15"/>
    <w:basedOn w:val="1"/>
    <w:next w:val="23"/>
    <w:qFormat/>
    <w:uiPriority w:val="34"/>
    <w:pPr>
      <w:widowControl w:val="0"/>
      <w:ind w:firstLine="420" w:firstLineChars="200"/>
      <w:jc w:val="both"/>
    </w:pPr>
    <w:rPr>
      <w:rFonts w:ascii="Calibri" w:hAnsi="Calibri" w:cs="Times New Roman"/>
      <w:kern w:val="2"/>
      <w:sz w:val="21"/>
      <w:szCs w:val="22"/>
    </w:rPr>
  </w:style>
  <w:style w:type="character" w:customStyle="1" w:styleId="27">
    <w:name w:val="正文文本 字符"/>
    <w:basedOn w:val="18"/>
    <w:link w:val="9"/>
    <w:qFormat/>
    <w:uiPriority w:val="0"/>
    <w:rPr>
      <w:rFonts w:ascii="Calibri" w:hAnsi="Calibri" w:eastAsia="宋体" w:cs="Times New Roman"/>
      <w:sz w:val="32"/>
      <w:szCs w:val="36"/>
    </w:rPr>
  </w:style>
  <w:style w:type="character" w:customStyle="1" w:styleId="28">
    <w:name w:val="font31"/>
    <w:qFormat/>
    <w:uiPriority w:val="0"/>
    <w:rPr>
      <w:rFonts w:ascii="Arial" w:hAnsi="Arial" w:cs="Arial"/>
      <w:color w:val="000000"/>
      <w:sz w:val="24"/>
      <w:szCs w:val="24"/>
      <w:u w:val="none"/>
    </w:rPr>
  </w:style>
  <w:style w:type="character" w:customStyle="1" w:styleId="29">
    <w:name w:val="标题 1 字符"/>
    <w:basedOn w:val="18"/>
    <w:link w:val="2"/>
    <w:qFormat/>
    <w:uiPriority w:val="9"/>
    <w:rPr>
      <w:rFonts w:ascii="宋体" w:hAnsi="宋体" w:eastAsia="宋体"/>
      <w:b/>
      <w:bCs/>
      <w:kern w:val="44"/>
      <w:sz w:val="30"/>
      <w:szCs w:val="48"/>
    </w:rPr>
  </w:style>
  <w:style w:type="character" w:customStyle="1" w:styleId="30">
    <w:name w:val="标题 3 字符"/>
    <w:basedOn w:val="18"/>
    <w:link w:val="4"/>
    <w:qFormat/>
    <w:uiPriority w:val="9"/>
    <w:rPr>
      <w:rFonts w:ascii="宋体" w:hAnsi="宋体" w:eastAsia="宋体"/>
      <w:b/>
      <w:bCs/>
      <w:sz w:val="32"/>
      <w:szCs w:val="32"/>
    </w:rPr>
  </w:style>
  <w:style w:type="character" w:customStyle="1" w:styleId="31">
    <w:name w:val="标题 4 字符"/>
    <w:basedOn w:val="18"/>
    <w:link w:val="5"/>
    <w:qFormat/>
    <w:uiPriority w:val="9"/>
    <w:rPr>
      <w:rFonts w:ascii="宋体" w:hAnsi="宋体" w:eastAsia="宋体" w:cstheme="majorBidi"/>
      <w:b/>
      <w:bCs/>
      <w:sz w:val="30"/>
      <w:szCs w:val="30"/>
    </w:rPr>
  </w:style>
  <w:style w:type="character" w:customStyle="1" w:styleId="32">
    <w:name w:val="标题 5 字符"/>
    <w:basedOn w:val="18"/>
    <w:link w:val="6"/>
    <w:qFormat/>
    <w:uiPriority w:val="9"/>
    <w:rPr>
      <w:rFonts w:ascii="宋体" w:hAnsi="宋体" w:eastAsia="宋体"/>
      <w:b/>
      <w:bCs/>
      <w:sz w:val="28"/>
      <w:szCs w:val="28"/>
    </w:rPr>
  </w:style>
  <w:style w:type="character" w:customStyle="1" w:styleId="33">
    <w:name w:val="标题 6 字符"/>
    <w:basedOn w:val="18"/>
    <w:link w:val="7"/>
    <w:qFormat/>
    <w:uiPriority w:val="9"/>
    <w:rPr>
      <w:rFonts w:ascii="宋体" w:hAnsi="宋体" w:eastAsia="宋体" w:cstheme="majorBidi"/>
      <w:b/>
      <w:bCs/>
      <w:sz w:val="24"/>
      <w:szCs w:val="24"/>
    </w:rPr>
  </w:style>
  <w:style w:type="paragraph" w:customStyle="1" w:styleId="34">
    <w:name w:val="无间隔1"/>
    <w:basedOn w:val="1"/>
    <w:qFormat/>
    <w:uiPriority w:val="1"/>
    <w:pPr>
      <w:widowControl w:val="0"/>
      <w:spacing w:line="360" w:lineRule="auto"/>
      <w:jc w:val="both"/>
    </w:pPr>
    <w:rPr>
      <w:rFonts w:cstheme="minorBidi"/>
      <w:kern w:val="2"/>
      <w:szCs w:val="28"/>
    </w:rPr>
  </w:style>
  <w:style w:type="character" w:customStyle="1" w:styleId="35">
    <w:name w:val="页眉 字符"/>
    <w:basedOn w:val="18"/>
    <w:link w:val="13"/>
    <w:qFormat/>
    <w:uiPriority w:val="99"/>
    <w:rPr>
      <w:rFonts w:ascii="Calibri" w:hAnsi="Calibri" w:eastAsia="宋体" w:cs="Times New Roman"/>
      <w:sz w:val="18"/>
      <w:szCs w:val="18"/>
    </w:rPr>
  </w:style>
  <w:style w:type="character" w:customStyle="1" w:styleId="36">
    <w:name w:val="页脚 字符"/>
    <w:basedOn w:val="18"/>
    <w:link w:val="12"/>
    <w:qFormat/>
    <w:uiPriority w:val="99"/>
    <w:rPr>
      <w:rFonts w:ascii="Calibri" w:hAnsi="Calibri" w:eastAsia="宋体" w:cs="Times New Roman"/>
      <w:sz w:val="18"/>
      <w:szCs w:val="18"/>
    </w:rPr>
  </w:style>
  <w:style w:type="character" w:customStyle="1" w:styleId="37">
    <w:name w:val="正文文本缩进 字符"/>
    <w:basedOn w:val="18"/>
    <w:link w:val="10"/>
    <w:semiHidden/>
    <w:qFormat/>
    <w:uiPriority w:val="99"/>
    <w:rPr>
      <w:rFonts w:ascii="Calibri" w:hAnsi="Calibri" w:eastAsia="宋体" w:cs="Times New Roman"/>
      <w:szCs w:val="24"/>
    </w:rPr>
  </w:style>
  <w:style w:type="character" w:customStyle="1" w:styleId="38">
    <w:name w:val="正文文本首行缩进 2 字符"/>
    <w:basedOn w:val="37"/>
    <w:link w:val="15"/>
    <w:qFormat/>
    <w:uiPriority w:val="99"/>
    <w:rPr>
      <w:rFonts w:ascii="Calibri" w:hAnsi="Calibri" w:eastAsia="宋体" w:cs="Times New Roman"/>
      <w:szCs w:val="24"/>
    </w:rPr>
  </w:style>
  <w:style w:type="character" w:customStyle="1" w:styleId="39">
    <w:name w:val="批注框文本 字符"/>
    <w:basedOn w:val="18"/>
    <w:link w:val="11"/>
    <w:semiHidden/>
    <w:uiPriority w:val="99"/>
    <w:rPr>
      <w:rFonts w:ascii="Calibri" w:hAnsi="Calibri"/>
      <w:kern w:val="2"/>
      <w:sz w:val="18"/>
      <w:szCs w:val="18"/>
    </w:rPr>
  </w:style>
  <w:style w:type="character" w:customStyle="1" w:styleId="40">
    <w:name w:val="批注文字 字符"/>
    <w:basedOn w:val="18"/>
    <w:link w:val="8"/>
    <w:uiPriority w:val="99"/>
    <w:rPr>
      <w:rFonts w:ascii="Calibri" w:hAnsi="Calibri"/>
      <w:kern w:val="2"/>
      <w:sz w:val="21"/>
      <w:szCs w:val="24"/>
    </w:rPr>
  </w:style>
  <w:style w:type="character" w:customStyle="1" w:styleId="41">
    <w:name w:val="批注主题 字符"/>
    <w:basedOn w:val="40"/>
    <w:link w:val="14"/>
    <w:semiHidden/>
    <w:qFormat/>
    <w:uiPriority w:val="99"/>
    <w:rPr>
      <w:rFonts w:ascii="Calibri" w:hAnsi="Calibri"/>
      <w:b/>
      <w:bCs/>
      <w:kern w:val="2"/>
      <w:sz w:val="21"/>
      <w:szCs w:val="24"/>
    </w:rPr>
  </w:style>
  <w:style w:type="paragraph" w:customStyle="1" w:styleId="42">
    <w:name w:val="Table Paragraph"/>
    <w:basedOn w:val="1"/>
    <w:qFormat/>
    <w:uiPriority w:val="1"/>
    <w:pPr>
      <w:widowControl w:val="0"/>
      <w:autoSpaceDE w:val="0"/>
      <w:autoSpaceDN w:val="0"/>
    </w:pPr>
    <w:rPr>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760</Words>
  <Characters>4334</Characters>
  <Lines>36</Lines>
  <Paragraphs>10</Paragraphs>
  <TotalTime>28</TotalTime>
  <ScaleCrop>false</ScaleCrop>
  <LinksUpToDate>false</LinksUpToDate>
  <CharactersWithSpaces>5084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2020-09-15T11:33:00Z</dcterms:created>
  <dc:creator>ask1999</dc:creator>
  <cp:lastModifiedBy>姚铭振</cp:lastModifiedBy>
  <dcterms:modified xsi:type="dcterms:W3CDTF">2020-09-23T16:05:50Z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